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40" w:rsidRPr="00FB4E25" w:rsidRDefault="001D7F40" w:rsidP="005A5AF1">
      <w:pPr>
        <w:spacing w:after="0" w:line="360" w:lineRule="auto"/>
        <w:jc w:val="right"/>
        <w:rPr>
          <w:rFonts w:ascii="Century Schoolbook" w:hAnsi="Century Schoolbook" w:cs="Times New Roman"/>
          <w:b/>
          <w:sz w:val="24"/>
          <w:szCs w:val="24"/>
          <w:u w:val="single"/>
        </w:rPr>
      </w:pPr>
      <w:r w:rsidRPr="00FB4E25">
        <w:rPr>
          <w:rFonts w:ascii="Century Schoolbook" w:hAnsi="Century Schoolbook" w:cs="Times New Roman"/>
          <w:b/>
          <w:sz w:val="24"/>
          <w:szCs w:val="24"/>
          <w:u w:val="single"/>
        </w:rPr>
        <w:t>PART ONE</w:t>
      </w:r>
    </w:p>
    <w:p w:rsidR="00FD5F97" w:rsidRPr="006C6879" w:rsidRDefault="00FD5F97" w:rsidP="00CD54F1">
      <w:pPr>
        <w:spacing w:line="360" w:lineRule="auto"/>
        <w:rPr>
          <w:rFonts w:ascii="Century Schoolbook" w:hAnsi="Century Schoolbook" w:cs="Times New Roman"/>
          <w:sz w:val="24"/>
          <w:szCs w:val="24"/>
        </w:rPr>
      </w:pPr>
      <w:r w:rsidRPr="006C6879">
        <w:rPr>
          <w:rFonts w:ascii="Century Schoolbook" w:hAnsi="Century Schoolbook" w:cs="Times New Roman"/>
          <w:sz w:val="24"/>
          <w:szCs w:val="24"/>
        </w:rPr>
        <w:t>___________________________________________________________________________</w:t>
      </w:r>
    </w:p>
    <w:p w:rsidR="009C7B6E" w:rsidRDefault="00EE1CE4" w:rsidP="005564CE">
      <w:pPr>
        <w:spacing w:line="360" w:lineRule="auto"/>
        <w:contextualSpacing/>
        <w:jc w:val="center"/>
        <w:rPr>
          <w:rFonts w:ascii="Century Schoolbook" w:hAnsi="Century Schoolbook" w:cs="Times New Roman"/>
          <w:b/>
          <w:sz w:val="24"/>
          <w:szCs w:val="24"/>
        </w:rPr>
      </w:pPr>
      <w:r w:rsidRPr="006C6879">
        <w:rPr>
          <w:rFonts w:ascii="Century Schoolbook" w:hAnsi="Century Schoolbook" w:cs="Times New Roman"/>
          <w:b/>
          <w:sz w:val="24"/>
          <w:szCs w:val="24"/>
        </w:rPr>
        <w:t>COMPLAINT TO THE AUDITOR</w:t>
      </w:r>
      <w:r w:rsidR="003C6F90" w:rsidRPr="006C6879">
        <w:rPr>
          <w:rFonts w:ascii="Century Schoolbook" w:hAnsi="Century Schoolbook" w:cs="Times New Roman"/>
          <w:b/>
          <w:sz w:val="24"/>
          <w:szCs w:val="24"/>
        </w:rPr>
        <w:t>-</w:t>
      </w:r>
      <w:r w:rsidRPr="006C6879">
        <w:rPr>
          <w:rFonts w:ascii="Century Schoolbook" w:hAnsi="Century Schoolbook" w:cs="Times New Roman"/>
          <w:b/>
          <w:sz w:val="24"/>
          <w:szCs w:val="24"/>
        </w:rPr>
        <w:t xml:space="preserve">GENERAL </w:t>
      </w:r>
      <w:r w:rsidR="00362D4A" w:rsidRPr="006C6879">
        <w:rPr>
          <w:rFonts w:ascii="Century Schoolbook" w:hAnsi="Century Schoolbook" w:cs="Times New Roman"/>
          <w:b/>
          <w:sz w:val="24"/>
          <w:szCs w:val="24"/>
        </w:rPr>
        <w:t>RE</w:t>
      </w:r>
      <w:r w:rsidR="001A2293">
        <w:rPr>
          <w:rFonts w:ascii="Century Schoolbook" w:hAnsi="Century Schoolbook" w:cs="Times New Roman"/>
          <w:b/>
          <w:sz w:val="24"/>
          <w:szCs w:val="24"/>
        </w:rPr>
        <w:t>GARDING</w:t>
      </w:r>
      <w:r w:rsidR="007C78BC" w:rsidRPr="006C6879">
        <w:rPr>
          <w:rFonts w:ascii="Century Schoolbook" w:hAnsi="Century Schoolbook" w:cs="Times New Roman"/>
          <w:b/>
          <w:sz w:val="24"/>
          <w:szCs w:val="24"/>
        </w:rPr>
        <w:t xml:space="preserve"> </w:t>
      </w:r>
      <w:r w:rsidR="0020309E">
        <w:rPr>
          <w:rFonts w:ascii="Century Schoolbook" w:hAnsi="Century Schoolbook" w:cs="Times New Roman"/>
          <w:b/>
          <w:sz w:val="24"/>
          <w:szCs w:val="24"/>
        </w:rPr>
        <w:t xml:space="preserve">MAJOR </w:t>
      </w:r>
      <w:r w:rsidR="007C78BC" w:rsidRPr="006C6879">
        <w:rPr>
          <w:rFonts w:ascii="Century Schoolbook" w:hAnsi="Century Schoolbook" w:cs="Times New Roman"/>
          <w:b/>
          <w:sz w:val="24"/>
          <w:szCs w:val="24"/>
        </w:rPr>
        <w:t xml:space="preserve">ONGOING </w:t>
      </w:r>
      <w:r w:rsidRPr="006C6879">
        <w:rPr>
          <w:rFonts w:ascii="Century Schoolbook" w:hAnsi="Century Schoolbook" w:cs="Times New Roman"/>
          <w:b/>
          <w:sz w:val="24"/>
          <w:szCs w:val="24"/>
        </w:rPr>
        <w:t>BREACHES OF</w:t>
      </w:r>
      <w:r w:rsidR="00E93CF4">
        <w:rPr>
          <w:rFonts w:ascii="Century Schoolbook" w:hAnsi="Century Schoolbook" w:cs="Times New Roman"/>
          <w:b/>
          <w:sz w:val="24"/>
          <w:szCs w:val="24"/>
        </w:rPr>
        <w:t xml:space="preserve"> </w:t>
      </w:r>
      <w:r w:rsidRPr="006C6879">
        <w:rPr>
          <w:rFonts w:ascii="Century Schoolbook" w:hAnsi="Century Schoolbook" w:cs="Times New Roman"/>
          <w:b/>
          <w:sz w:val="24"/>
          <w:szCs w:val="24"/>
        </w:rPr>
        <w:t xml:space="preserve">THE PUBLIC FINANCE MANAGEMENT ACT </w:t>
      </w:r>
      <w:r w:rsidR="00E96C43" w:rsidRPr="006C6879">
        <w:rPr>
          <w:rFonts w:ascii="Century Schoolbook" w:hAnsi="Century Schoolbook" w:cs="Times New Roman"/>
          <w:b/>
          <w:sz w:val="24"/>
          <w:szCs w:val="24"/>
        </w:rPr>
        <w:t xml:space="preserve">INVOLVING MANY MILLIONS OF RANDS </w:t>
      </w:r>
      <w:r w:rsidRPr="006C6879">
        <w:rPr>
          <w:rFonts w:ascii="Century Schoolbook" w:hAnsi="Century Schoolbook" w:cs="Times New Roman"/>
          <w:b/>
          <w:sz w:val="24"/>
          <w:szCs w:val="24"/>
        </w:rPr>
        <w:t>AND OTHER MATERIAL IRREGULARITIES</w:t>
      </w:r>
      <w:r w:rsidR="00D50B41">
        <w:rPr>
          <w:rFonts w:ascii="Century Schoolbook" w:hAnsi="Century Schoolbook" w:cs="Times New Roman"/>
          <w:b/>
          <w:sz w:val="24"/>
          <w:szCs w:val="24"/>
        </w:rPr>
        <w:t xml:space="preserve"> INCLUDING CRIMES</w:t>
      </w:r>
      <w:r w:rsidRPr="006C6879">
        <w:rPr>
          <w:rFonts w:ascii="Century Schoolbook" w:hAnsi="Century Schoolbook" w:cs="Times New Roman"/>
          <w:b/>
          <w:sz w:val="24"/>
          <w:szCs w:val="24"/>
        </w:rPr>
        <w:t xml:space="preserve"> </w:t>
      </w:r>
      <w:r w:rsidR="0094701C" w:rsidRPr="006C6879">
        <w:rPr>
          <w:rFonts w:ascii="Century Schoolbook" w:hAnsi="Century Schoolbook" w:cs="Times New Roman"/>
          <w:b/>
          <w:sz w:val="24"/>
          <w:szCs w:val="24"/>
        </w:rPr>
        <w:t xml:space="preserve">COMMITTED </w:t>
      </w:r>
      <w:r w:rsidR="00205972">
        <w:rPr>
          <w:rFonts w:ascii="Century Schoolbook" w:hAnsi="Century Schoolbook" w:cs="Times New Roman"/>
          <w:b/>
          <w:sz w:val="24"/>
          <w:szCs w:val="24"/>
        </w:rPr>
        <w:t xml:space="preserve">IN A </w:t>
      </w:r>
      <w:r w:rsidR="00F21089">
        <w:rPr>
          <w:rFonts w:ascii="Century Schoolbook" w:hAnsi="Century Schoolbook" w:cs="Times New Roman"/>
          <w:b/>
          <w:sz w:val="24"/>
          <w:szCs w:val="24"/>
        </w:rPr>
        <w:t xml:space="preserve">CORRUPTION </w:t>
      </w:r>
      <w:r w:rsidR="00E026FD">
        <w:rPr>
          <w:rFonts w:ascii="Century Schoolbook" w:hAnsi="Century Schoolbook" w:cs="Times New Roman"/>
          <w:b/>
          <w:sz w:val="24"/>
          <w:szCs w:val="24"/>
        </w:rPr>
        <w:t>COVER</w:t>
      </w:r>
      <w:r w:rsidR="00E026FD">
        <w:rPr>
          <w:rFonts w:ascii="Century Schoolbook" w:hAnsi="Century Schoolbook" w:cs="Times New Roman"/>
          <w:b/>
          <w:sz w:val="24"/>
          <w:szCs w:val="24"/>
        </w:rPr>
        <w:noBreakHyphen/>
        <w:t xml:space="preserve">UP </w:t>
      </w:r>
      <w:r w:rsidRPr="006C6879">
        <w:rPr>
          <w:rFonts w:ascii="Century Schoolbook" w:hAnsi="Century Schoolbook" w:cs="Times New Roman"/>
          <w:b/>
          <w:sz w:val="24"/>
          <w:szCs w:val="24"/>
        </w:rPr>
        <w:t xml:space="preserve">BY </w:t>
      </w:r>
      <w:r w:rsidR="000D38BE">
        <w:rPr>
          <w:rFonts w:ascii="Century Schoolbook" w:hAnsi="Century Schoolbook" w:cs="Times New Roman"/>
          <w:b/>
          <w:sz w:val="24"/>
          <w:szCs w:val="24"/>
        </w:rPr>
        <w:t xml:space="preserve">PAST AND CURRENT </w:t>
      </w:r>
      <w:r w:rsidR="007D7ED9">
        <w:rPr>
          <w:rFonts w:ascii="Century Schoolbook" w:hAnsi="Century Schoolbook" w:cs="Times New Roman"/>
          <w:b/>
          <w:sz w:val="24"/>
          <w:szCs w:val="24"/>
        </w:rPr>
        <w:t xml:space="preserve">HIGH OFFICERS OF </w:t>
      </w:r>
      <w:r w:rsidRPr="006C6879">
        <w:rPr>
          <w:rFonts w:ascii="Century Schoolbook" w:hAnsi="Century Schoolbook" w:cs="Times New Roman"/>
          <w:b/>
          <w:sz w:val="24"/>
          <w:szCs w:val="24"/>
        </w:rPr>
        <w:t>LEGAL</w:t>
      </w:r>
      <w:r w:rsidR="000E5C38">
        <w:rPr>
          <w:rFonts w:ascii="Century Schoolbook" w:hAnsi="Century Schoolbook" w:cs="Times New Roman"/>
          <w:b/>
          <w:sz w:val="24"/>
          <w:szCs w:val="24"/>
        </w:rPr>
        <w:t> </w:t>
      </w:r>
      <w:r w:rsidRPr="006C6879">
        <w:rPr>
          <w:rFonts w:ascii="Century Schoolbook" w:hAnsi="Century Schoolbook" w:cs="Times New Roman"/>
          <w:b/>
          <w:sz w:val="24"/>
          <w:szCs w:val="24"/>
        </w:rPr>
        <w:t>AID</w:t>
      </w:r>
      <w:r w:rsidR="000E5C38">
        <w:rPr>
          <w:rFonts w:ascii="Century Schoolbook" w:hAnsi="Century Schoolbook" w:cs="Times New Roman"/>
          <w:b/>
          <w:sz w:val="24"/>
          <w:szCs w:val="24"/>
        </w:rPr>
        <w:t> </w:t>
      </w:r>
      <w:r w:rsidRPr="006C6879">
        <w:rPr>
          <w:rFonts w:ascii="Century Schoolbook" w:hAnsi="Century Schoolbook" w:cs="Times New Roman"/>
          <w:b/>
          <w:sz w:val="24"/>
          <w:szCs w:val="24"/>
        </w:rPr>
        <w:t>SOUTH AFRICA</w:t>
      </w:r>
    </w:p>
    <w:p w:rsidR="00FD5F97" w:rsidRPr="006C6879" w:rsidRDefault="00FD5F97" w:rsidP="00A80365">
      <w:pPr>
        <w:spacing w:line="360" w:lineRule="auto"/>
        <w:jc w:val="center"/>
        <w:rPr>
          <w:rFonts w:ascii="Century Schoolbook" w:hAnsi="Century Schoolbook" w:cs="Times New Roman"/>
          <w:sz w:val="24"/>
          <w:szCs w:val="24"/>
        </w:rPr>
      </w:pPr>
      <w:r w:rsidRPr="006C6879">
        <w:rPr>
          <w:rFonts w:ascii="Century Schoolbook" w:hAnsi="Century Schoolbook" w:cs="Times New Roman"/>
          <w:sz w:val="24"/>
          <w:szCs w:val="24"/>
        </w:rPr>
        <w:t>___________________________________________________________________________</w:t>
      </w:r>
    </w:p>
    <w:p w:rsidR="008F7AC1" w:rsidRPr="006C6879" w:rsidRDefault="00CD54F1" w:rsidP="00CD54F1">
      <w:pPr>
        <w:spacing w:line="360" w:lineRule="auto"/>
        <w:rPr>
          <w:rFonts w:ascii="Century Schoolbook" w:hAnsi="Century Schoolbook" w:cs="Times New Roman"/>
          <w:sz w:val="24"/>
          <w:szCs w:val="24"/>
        </w:rPr>
      </w:pPr>
      <w:r w:rsidRPr="006C6879">
        <w:rPr>
          <w:rFonts w:ascii="Century Schoolbook" w:hAnsi="Century Schoolbook" w:cs="Times New Roman"/>
          <w:sz w:val="24"/>
          <w:szCs w:val="24"/>
        </w:rPr>
        <w:t xml:space="preserve">I, Anthony </w:t>
      </w:r>
      <w:r w:rsidR="0022708C" w:rsidRPr="006C6879">
        <w:rPr>
          <w:rFonts w:ascii="Century Schoolbook" w:hAnsi="Century Schoolbook" w:cs="Times New Roman"/>
          <w:sz w:val="24"/>
          <w:szCs w:val="24"/>
        </w:rPr>
        <w:t xml:space="preserve">Robin </w:t>
      </w:r>
      <w:r w:rsidRPr="006C6879">
        <w:rPr>
          <w:rFonts w:ascii="Century Schoolbook" w:hAnsi="Century Schoolbook" w:cs="Times New Roman"/>
          <w:sz w:val="24"/>
          <w:szCs w:val="24"/>
        </w:rPr>
        <w:t>Brink, affirm:</w:t>
      </w:r>
    </w:p>
    <w:p w:rsidR="006F6341" w:rsidRPr="006C6879" w:rsidRDefault="00CD54F1" w:rsidP="006F6341">
      <w:pPr>
        <w:pStyle w:val="ListParagraph"/>
        <w:numPr>
          <w:ilvl w:val="0"/>
          <w:numId w:val="1"/>
        </w:numPr>
        <w:tabs>
          <w:tab w:val="left" w:pos="284"/>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I am an </w:t>
      </w:r>
      <w:r w:rsidR="00253B69" w:rsidRPr="006C6879">
        <w:rPr>
          <w:rFonts w:ascii="Century Schoolbook" w:hAnsi="Century Schoolbook" w:cs="Times New Roman"/>
          <w:sz w:val="24"/>
          <w:szCs w:val="24"/>
        </w:rPr>
        <w:t xml:space="preserve">adult male, 60, an </w:t>
      </w:r>
      <w:r w:rsidRPr="006C6879">
        <w:rPr>
          <w:rFonts w:ascii="Century Schoolbook" w:hAnsi="Century Schoolbook" w:cs="Times New Roman"/>
          <w:sz w:val="24"/>
          <w:szCs w:val="24"/>
        </w:rPr>
        <w:t>advocate of the High Court of South Africa</w:t>
      </w:r>
      <w:r w:rsidR="009B58F9">
        <w:rPr>
          <w:rFonts w:ascii="Century Schoolbook" w:hAnsi="Century Schoolbook" w:cs="Times New Roman"/>
          <w:sz w:val="24"/>
          <w:szCs w:val="24"/>
        </w:rPr>
        <w:t>,</w:t>
      </w:r>
      <w:r w:rsidRPr="006C6879">
        <w:rPr>
          <w:rFonts w:ascii="Century Schoolbook" w:hAnsi="Century Schoolbook" w:cs="Times New Roman"/>
          <w:sz w:val="24"/>
          <w:szCs w:val="24"/>
        </w:rPr>
        <w:t xml:space="preserve"> </w:t>
      </w:r>
      <w:r w:rsidR="00981423" w:rsidRPr="006C6879">
        <w:rPr>
          <w:rFonts w:ascii="Century Schoolbook" w:hAnsi="Century Schoolbook" w:cs="Times New Roman"/>
          <w:sz w:val="24"/>
          <w:szCs w:val="24"/>
        </w:rPr>
        <w:t xml:space="preserve">admitted to practice on </w:t>
      </w:r>
      <w:r w:rsidR="000E04B5" w:rsidRPr="006C6879">
        <w:rPr>
          <w:rFonts w:ascii="Century Schoolbook" w:hAnsi="Century Schoolbook" w:cs="Times New Roman"/>
          <w:sz w:val="24"/>
          <w:szCs w:val="24"/>
        </w:rPr>
        <w:t>12</w:t>
      </w:r>
      <w:r w:rsidR="00A22A46" w:rsidRPr="006C6879">
        <w:rPr>
          <w:rFonts w:ascii="Century Schoolbook" w:hAnsi="Century Schoolbook" w:cs="Times New Roman"/>
          <w:sz w:val="24"/>
          <w:szCs w:val="24"/>
        </w:rPr>
        <w:t xml:space="preserve"> </w:t>
      </w:r>
      <w:r w:rsidR="00981423" w:rsidRPr="006C6879">
        <w:rPr>
          <w:rFonts w:ascii="Century Schoolbook" w:hAnsi="Century Schoolbook" w:cs="Times New Roman"/>
          <w:sz w:val="24"/>
          <w:szCs w:val="24"/>
        </w:rPr>
        <w:t>April 1983</w:t>
      </w:r>
      <w:r w:rsidR="000618D0">
        <w:rPr>
          <w:rFonts w:ascii="Century Schoolbook" w:hAnsi="Century Schoolbook" w:cs="Times New Roman"/>
          <w:sz w:val="24"/>
          <w:szCs w:val="24"/>
        </w:rPr>
        <w:t xml:space="preserve">, and a former </w:t>
      </w:r>
      <w:r w:rsidR="001904F0">
        <w:rPr>
          <w:rFonts w:ascii="Century Schoolbook" w:hAnsi="Century Schoolbook" w:cs="Times New Roman"/>
          <w:sz w:val="24"/>
          <w:szCs w:val="24"/>
        </w:rPr>
        <w:t xml:space="preserve">magistrate of the </w:t>
      </w:r>
      <w:r w:rsidR="000618D0">
        <w:rPr>
          <w:rFonts w:ascii="Century Schoolbook" w:hAnsi="Century Schoolbook" w:cs="Times New Roman"/>
          <w:sz w:val="24"/>
          <w:szCs w:val="24"/>
        </w:rPr>
        <w:t>District-and Regional Court</w:t>
      </w:r>
      <w:r w:rsidR="001904F0">
        <w:rPr>
          <w:rFonts w:ascii="Century Schoolbook" w:hAnsi="Century Schoolbook" w:cs="Times New Roman"/>
          <w:sz w:val="24"/>
          <w:szCs w:val="24"/>
        </w:rPr>
        <w:t>s, specialising in civil law</w:t>
      </w:r>
      <w:r w:rsidR="007E50E7" w:rsidRPr="006C6879">
        <w:rPr>
          <w:rFonts w:ascii="Century Schoolbook" w:hAnsi="Century Schoolbook" w:cs="Times New Roman"/>
          <w:sz w:val="24"/>
          <w:szCs w:val="24"/>
        </w:rPr>
        <w:t>. I re</w:t>
      </w:r>
      <w:r w:rsidR="00B35171" w:rsidRPr="006C6879">
        <w:rPr>
          <w:rFonts w:ascii="Century Schoolbook" w:hAnsi="Century Schoolbook" w:cs="Times New Roman"/>
          <w:sz w:val="24"/>
          <w:szCs w:val="24"/>
        </w:rPr>
        <w:t>sid</w:t>
      </w:r>
      <w:r w:rsidR="00E602C5" w:rsidRPr="006C6879">
        <w:rPr>
          <w:rFonts w:ascii="Century Schoolbook" w:hAnsi="Century Schoolbook" w:cs="Times New Roman"/>
          <w:sz w:val="24"/>
          <w:szCs w:val="24"/>
        </w:rPr>
        <w:t>e a</w:t>
      </w:r>
      <w:r w:rsidR="00436127" w:rsidRPr="006C6879">
        <w:rPr>
          <w:rFonts w:ascii="Century Schoolbook" w:hAnsi="Century Schoolbook" w:cs="Times New Roman"/>
          <w:sz w:val="24"/>
          <w:szCs w:val="24"/>
        </w:rPr>
        <w:t xml:space="preserve">t </w:t>
      </w:r>
      <w:r w:rsidRPr="006C6879">
        <w:rPr>
          <w:rFonts w:ascii="Century Schoolbook" w:hAnsi="Century Schoolbook" w:cs="Times New Roman"/>
          <w:sz w:val="24"/>
          <w:szCs w:val="24"/>
        </w:rPr>
        <w:t xml:space="preserve">36 Pearson </w:t>
      </w:r>
      <w:r w:rsidR="00B35171" w:rsidRPr="006C6879">
        <w:rPr>
          <w:rFonts w:ascii="Century Schoolbook" w:hAnsi="Century Schoolbook" w:cs="Times New Roman"/>
          <w:sz w:val="24"/>
          <w:szCs w:val="24"/>
        </w:rPr>
        <w:t>Street</w:t>
      </w:r>
      <w:r w:rsidRPr="006C6879">
        <w:rPr>
          <w:rFonts w:ascii="Century Schoolbook" w:hAnsi="Century Schoolbook" w:cs="Times New Roman"/>
          <w:sz w:val="24"/>
          <w:szCs w:val="24"/>
        </w:rPr>
        <w:t>, Eshowe, KwaZulu</w:t>
      </w:r>
      <w:r w:rsidR="00302F3F">
        <w:rPr>
          <w:rFonts w:ascii="Century Schoolbook" w:hAnsi="Century Schoolbook" w:cs="Times New Roman"/>
          <w:sz w:val="24"/>
          <w:szCs w:val="24"/>
        </w:rPr>
        <w:t>-</w:t>
      </w:r>
      <w:r w:rsidRPr="006C6879">
        <w:rPr>
          <w:rFonts w:ascii="Century Schoolbook" w:hAnsi="Century Schoolbook" w:cs="Times New Roman"/>
          <w:sz w:val="24"/>
          <w:szCs w:val="24"/>
        </w:rPr>
        <w:t xml:space="preserve">Natal. </w:t>
      </w:r>
      <w:r w:rsidR="00436127" w:rsidRPr="006C6879">
        <w:rPr>
          <w:rFonts w:ascii="Century Schoolbook" w:hAnsi="Century Schoolbook" w:cs="Times New Roman"/>
          <w:sz w:val="24"/>
          <w:szCs w:val="24"/>
        </w:rPr>
        <w:t>My</w:t>
      </w:r>
      <w:r w:rsidR="00E93CF4">
        <w:rPr>
          <w:rFonts w:ascii="Century Schoolbook" w:hAnsi="Century Schoolbook" w:cs="Times New Roman"/>
          <w:sz w:val="24"/>
          <w:szCs w:val="24"/>
        </w:rPr>
        <w:t xml:space="preserve"> </w:t>
      </w:r>
      <w:r w:rsidR="00D04898" w:rsidRPr="006C6879">
        <w:rPr>
          <w:rFonts w:ascii="Century Schoolbook" w:hAnsi="Century Schoolbook" w:cs="Times New Roman"/>
          <w:sz w:val="24"/>
          <w:szCs w:val="24"/>
        </w:rPr>
        <w:t>email address is anthonybrink.sa@gmail.com</w:t>
      </w:r>
      <w:r w:rsidR="00D04898" w:rsidRPr="00D04898">
        <w:rPr>
          <w:rFonts w:ascii="Century Schoolbook" w:hAnsi="Century Schoolbook" w:cs="Times New Roman"/>
          <w:sz w:val="24"/>
          <w:szCs w:val="24"/>
        </w:rPr>
        <w:t xml:space="preserve"> </w:t>
      </w:r>
      <w:r w:rsidR="00D04898" w:rsidRPr="006C6879">
        <w:rPr>
          <w:rFonts w:ascii="Century Schoolbook" w:hAnsi="Century Schoolbook" w:cs="Times New Roman"/>
          <w:sz w:val="24"/>
          <w:szCs w:val="24"/>
        </w:rPr>
        <w:t>and</w:t>
      </w:r>
      <w:r w:rsidR="00E93CF4">
        <w:rPr>
          <w:rFonts w:ascii="Century Schoolbook" w:hAnsi="Century Schoolbook" w:cs="Times New Roman"/>
          <w:sz w:val="24"/>
          <w:szCs w:val="24"/>
        </w:rPr>
        <w:t xml:space="preserve"> </w:t>
      </w:r>
      <w:r w:rsidR="00D04898" w:rsidRPr="006C6879">
        <w:rPr>
          <w:rFonts w:ascii="Century Schoolbook" w:hAnsi="Century Schoolbook" w:cs="Times New Roman"/>
          <w:sz w:val="24"/>
          <w:szCs w:val="24"/>
        </w:rPr>
        <w:t xml:space="preserve">my </w:t>
      </w:r>
      <w:r w:rsidR="00436127" w:rsidRPr="006C6879">
        <w:rPr>
          <w:rFonts w:ascii="Century Schoolbook" w:hAnsi="Century Schoolbook" w:cs="Times New Roman"/>
          <w:sz w:val="24"/>
          <w:szCs w:val="24"/>
        </w:rPr>
        <w:t>cellphone number is 083 779 4174.</w:t>
      </w:r>
    </w:p>
    <w:p w:rsidR="005F3F8F" w:rsidRPr="006C6879" w:rsidRDefault="005F3F8F" w:rsidP="005F3F8F">
      <w:pPr>
        <w:pStyle w:val="ListParagraph"/>
        <w:tabs>
          <w:tab w:val="left" w:pos="284"/>
        </w:tabs>
        <w:spacing w:line="360" w:lineRule="auto"/>
        <w:ind w:left="0"/>
        <w:contextualSpacing w:val="0"/>
        <w:rPr>
          <w:rFonts w:ascii="Century Schoolbook" w:hAnsi="Century Schoolbook" w:cs="Times New Roman"/>
          <w:sz w:val="24"/>
          <w:szCs w:val="24"/>
        </w:rPr>
      </w:pPr>
      <w:r w:rsidRPr="006C6879">
        <w:rPr>
          <w:rFonts w:ascii="Century Schoolbook" w:hAnsi="Century Schoolbook" w:cs="Times New Roman"/>
          <w:b/>
          <w:sz w:val="24"/>
          <w:szCs w:val="24"/>
        </w:rPr>
        <w:t>EXECUTIVE SUMMARY</w:t>
      </w:r>
    </w:p>
    <w:p w:rsidR="00D04898" w:rsidRDefault="00455895" w:rsidP="005F3F8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T</w:t>
      </w:r>
      <w:r w:rsidR="005F3F8F" w:rsidRPr="006C6879">
        <w:rPr>
          <w:rFonts w:ascii="Century Schoolbook" w:hAnsi="Century Schoolbook" w:cs="Times New Roman"/>
          <w:sz w:val="24"/>
          <w:szCs w:val="24"/>
        </w:rPr>
        <w:t xml:space="preserve">his complaint identifies </w:t>
      </w:r>
      <w:r w:rsidR="0094756E">
        <w:rPr>
          <w:rFonts w:ascii="Century Schoolbook" w:hAnsi="Century Schoolbook" w:cs="Times New Roman"/>
          <w:sz w:val="24"/>
          <w:szCs w:val="24"/>
        </w:rPr>
        <w:t>major</w:t>
      </w:r>
      <w:r w:rsidR="005F3F8F" w:rsidRPr="006C6879">
        <w:rPr>
          <w:rFonts w:ascii="Century Schoolbook" w:hAnsi="Century Schoolbook" w:cs="Times New Roman"/>
          <w:sz w:val="24"/>
          <w:szCs w:val="24"/>
        </w:rPr>
        <w:t xml:space="preserve"> </w:t>
      </w:r>
      <w:r w:rsidR="0020309E" w:rsidRPr="006C6879">
        <w:rPr>
          <w:rFonts w:ascii="Century Schoolbook" w:hAnsi="Century Schoolbook" w:cs="Times New Roman"/>
          <w:sz w:val="24"/>
          <w:szCs w:val="24"/>
        </w:rPr>
        <w:t>ongoing</w:t>
      </w:r>
      <w:r w:rsidR="0020309E" w:rsidRPr="006F2427">
        <w:rPr>
          <w:rFonts w:ascii="Century Schoolbook" w:hAnsi="Century Schoolbook" w:cs="Times New Roman"/>
          <w:sz w:val="24"/>
          <w:szCs w:val="24"/>
        </w:rPr>
        <w:t xml:space="preserve"> </w:t>
      </w:r>
      <w:r w:rsidR="005F3F8F" w:rsidRPr="006C6879">
        <w:rPr>
          <w:rFonts w:ascii="Century Schoolbook" w:hAnsi="Century Schoolbook" w:cs="Times New Roman"/>
          <w:sz w:val="24"/>
          <w:szCs w:val="24"/>
        </w:rPr>
        <w:t>contraventions</w:t>
      </w:r>
      <w:r>
        <w:rPr>
          <w:rFonts w:ascii="Century Schoolbook" w:hAnsi="Century Schoolbook" w:cs="Times New Roman"/>
          <w:sz w:val="24"/>
          <w:szCs w:val="24"/>
        </w:rPr>
        <w:t xml:space="preserve"> </w:t>
      </w:r>
      <w:r w:rsidR="006F2427" w:rsidRPr="006C6879">
        <w:rPr>
          <w:rFonts w:ascii="Century Schoolbook" w:hAnsi="Century Schoolbook" w:cs="Times New Roman"/>
          <w:sz w:val="24"/>
          <w:szCs w:val="24"/>
        </w:rPr>
        <w:t xml:space="preserve">of the Public Finance Management Act 1 of 1999 (‘PFMA’), some criminal, </w:t>
      </w:r>
      <w:r w:rsidR="00450B05" w:rsidRPr="006C6879">
        <w:rPr>
          <w:rFonts w:ascii="Century Schoolbook" w:hAnsi="Century Schoolbook" w:cs="Times New Roman"/>
          <w:sz w:val="24"/>
          <w:szCs w:val="24"/>
        </w:rPr>
        <w:t xml:space="preserve">committed in </w:t>
      </w:r>
      <w:r w:rsidR="00450B05">
        <w:rPr>
          <w:rFonts w:ascii="Century Schoolbook" w:hAnsi="Century Schoolbook" w:cs="Times New Roman"/>
          <w:sz w:val="24"/>
          <w:szCs w:val="24"/>
        </w:rPr>
        <w:t xml:space="preserve">a </w:t>
      </w:r>
      <w:r w:rsidR="00450B05" w:rsidRPr="006C6879">
        <w:rPr>
          <w:rFonts w:ascii="Century Schoolbook" w:hAnsi="Century Schoolbook" w:cs="Times New Roman"/>
          <w:sz w:val="24"/>
          <w:szCs w:val="24"/>
        </w:rPr>
        <w:t>cover</w:t>
      </w:r>
      <w:r w:rsidR="00450B05">
        <w:rPr>
          <w:rFonts w:ascii="Century Schoolbook" w:hAnsi="Century Schoolbook" w:cs="Times New Roman"/>
          <w:sz w:val="24"/>
          <w:szCs w:val="24"/>
        </w:rPr>
        <w:t xml:space="preserve">-up of </w:t>
      </w:r>
      <w:r w:rsidR="00450B05" w:rsidRPr="006C6879">
        <w:rPr>
          <w:rFonts w:ascii="Century Schoolbook" w:hAnsi="Century Schoolbook" w:cs="Times New Roman"/>
          <w:sz w:val="24"/>
          <w:szCs w:val="24"/>
        </w:rPr>
        <w:t xml:space="preserve">top-level recruitment corruption </w:t>
      </w:r>
      <w:r w:rsidR="00450B05">
        <w:rPr>
          <w:rFonts w:ascii="Century Schoolbook" w:hAnsi="Century Schoolbook" w:cs="Times New Roman"/>
          <w:sz w:val="24"/>
          <w:szCs w:val="24"/>
        </w:rPr>
        <w:t>at</w:t>
      </w:r>
      <w:r w:rsidR="00C23F6F" w:rsidRPr="006C6879">
        <w:rPr>
          <w:rFonts w:ascii="Century Schoolbook" w:hAnsi="Century Schoolbook" w:cs="Times New Roman"/>
          <w:sz w:val="24"/>
          <w:szCs w:val="24"/>
        </w:rPr>
        <w:t xml:space="preserve"> Legal Aid South Africa (‘LASA’)</w:t>
      </w:r>
      <w:r w:rsidR="00292E7C">
        <w:rPr>
          <w:rFonts w:ascii="Century Schoolbook" w:hAnsi="Century Schoolbook" w:cs="Times New Roman"/>
          <w:sz w:val="24"/>
          <w:szCs w:val="24"/>
        </w:rPr>
        <w:t xml:space="preserve"> </w:t>
      </w:r>
      <w:r w:rsidR="00940367">
        <w:rPr>
          <w:rFonts w:ascii="Century Schoolbook" w:hAnsi="Century Schoolbook" w:cs="Times New Roman"/>
          <w:sz w:val="24"/>
          <w:szCs w:val="24"/>
        </w:rPr>
        <w:t>entail</w:t>
      </w:r>
      <w:r w:rsidR="005F3F8F" w:rsidRPr="006C6879">
        <w:rPr>
          <w:rFonts w:ascii="Century Schoolbook" w:hAnsi="Century Schoolbook" w:cs="Times New Roman"/>
          <w:sz w:val="24"/>
          <w:szCs w:val="24"/>
        </w:rPr>
        <w:t>ing unauthori</w:t>
      </w:r>
      <w:r w:rsidR="00762D1B">
        <w:rPr>
          <w:rFonts w:ascii="Century Schoolbook" w:hAnsi="Century Schoolbook" w:cs="Times New Roman"/>
          <w:sz w:val="24"/>
          <w:szCs w:val="24"/>
        </w:rPr>
        <w:t>s</w:t>
      </w:r>
      <w:r w:rsidR="005F3F8F" w:rsidRPr="006C6879">
        <w:rPr>
          <w:rFonts w:ascii="Century Schoolbook" w:hAnsi="Century Schoolbook" w:cs="Times New Roman"/>
          <w:sz w:val="24"/>
          <w:szCs w:val="24"/>
        </w:rPr>
        <w:t xml:space="preserve">ed expenditure of </w:t>
      </w:r>
      <w:r w:rsidR="002A0259">
        <w:rPr>
          <w:rFonts w:ascii="Century Schoolbook" w:hAnsi="Century Schoolbook" w:cs="Times New Roman"/>
          <w:sz w:val="24"/>
          <w:szCs w:val="24"/>
        </w:rPr>
        <w:t xml:space="preserve">around </w:t>
      </w:r>
      <w:r w:rsidR="005F3F8F" w:rsidRPr="006C6879">
        <w:rPr>
          <w:rFonts w:ascii="Century Schoolbook" w:hAnsi="Century Schoolbook" w:cs="Times New Roman"/>
          <w:sz w:val="24"/>
          <w:szCs w:val="24"/>
        </w:rPr>
        <w:t>thirty million rands since 2010</w:t>
      </w:r>
      <w:r w:rsidR="00D04898">
        <w:rPr>
          <w:rFonts w:ascii="Century Schoolbook" w:hAnsi="Century Schoolbook" w:cs="Times New Roman"/>
          <w:sz w:val="24"/>
          <w:szCs w:val="24"/>
        </w:rPr>
        <w:t>,</w:t>
      </w:r>
      <w:r w:rsidR="00C23F6F" w:rsidRPr="006C6879">
        <w:rPr>
          <w:rFonts w:ascii="Century Schoolbook" w:hAnsi="Century Schoolbook" w:cs="Times New Roman"/>
          <w:sz w:val="24"/>
          <w:szCs w:val="24"/>
        </w:rPr>
        <w:t xml:space="preserve"> </w:t>
      </w:r>
      <w:r w:rsidR="00292E7C">
        <w:rPr>
          <w:rFonts w:ascii="Century Schoolbook" w:hAnsi="Century Schoolbook" w:cs="Times New Roman"/>
          <w:sz w:val="24"/>
          <w:szCs w:val="24"/>
        </w:rPr>
        <w:t xml:space="preserve">hitherto </w:t>
      </w:r>
      <w:r w:rsidR="00450B05" w:rsidRPr="006C6879">
        <w:rPr>
          <w:rFonts w:ascii="Century Schoolbook" w:hAnsi="Century Schoolbook" w:cs="Times New Roman"/>
          <w:sz w:val="24"/>
          <w:szCs w:val="24"/>
        </w:rPr>
        <w:t>undetected and unreported by LASA’s external auditor PWC</w:t>
      </w:r>
      <w:r w:rsidR="00A01E41">
        <w:rPr>
          <w:rFonts w:ascii="Century Schoolbook" w:hAnsi="Century Schoolbook" w:cs="Times New Roman"/>
          <w:sz w:val="24"/>
          <w:szCs w:val="24"/>
        </w:rPr>
        <w:t>.</w:t>
      </w:r>
      <w:r w:rsidR="005F3F8F" w:rsidRPr="006C6879">
        <w:rPr>
          <w:rFonts w:ascii="Century Schoolbook" w:hAnsi="Century Schoolbook" w:cs="Times New Roman"/>
          <w:sz w:val="24"/>
          <w:szCs w:val="24"/>
        </w:rPr>
        <w:t xml:space="preserve"> </w:t>
      </w:r>
    </w:p>
    <w:p w:rsidR="00305203" w:rsidRDefault="005F3F8F" w:rsidP="005F3F8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complaint further identifies multiple </w:t>
      </w:r>
      <w:r w:rsidR="006D592D" w:rsidRPr="006C6879">
        <w:rPr>
          <w:rFonts w:ascii="Century Schoolbook" w:hAnsi="Century Schoolbook" w:cs="Times New Roman"/>
          <w:sz w:val="24"/>
          <w:szCs w:val="24"/>
        </w:rPr>
        <w:t>instances of ‘</w:t>
      </w:r>
      <w:r w:rsidRPr="006C6879">
        <w:rPr>
          <w:rFonts w:ascii="Century Schoolbook" w:hAnsi="Century Schoolbook" w:cs="Times New Roman"/>
          <w:sz w:val="24"/>
          <w:szCs w:val="24"/>
        </w:rPr>
        <w:t>material irregularit</w:t>
      </w:r>
      <w:r w:rsidR="006D592D" w:rsidRPr="006C6879">
        <w:rPr>
          <w:rFonts w:ascii="Century Schoolbook" w:hAnsi="Century Schoolbook" w:cs="Times New Roman"/>
          <w:sz w:val="24"/>
          <w:szCs w:val="24"/>
        </w:rPr>
        <w:t xml:space="preserve">y’ as </w:t>
      </w:r>
      <w:r w:rsidR="00E75734">
        <w:rPr>
          <w:rFonts w:ascii="Century Schoolbook" w:hAnsi="Century Schoolbook" w:cs="Times New Roman"/>
          <w:sz w:val="24"/>
          <w:szCs w:val="24"/>
        </w:rPr>
        <w:t xml:space="preserve">defined by </w:t>
      </w:r>
      <w:r w:rsidR="00937475" w:rsidRPr="006C6879">
        <w:rPr>
          <w:rFonts w:ascii="Century Schoolbook" w:hAnsi="Century Schoolbook" w:cs="Times New Roman"/>
          <w:sz w:val="24"/>
          <w:szCs w:val="24"/>
        </w:rPr>
        <w:t>section 1 of the Public Audit Act 25 of 2004 (‘PAA’)</w:t>
      </w:r>
      <w:r w:rsidR="006D592D" w:rsidRPr="006C6879">
        <w:rPr>
          <w:rFonts w:ascii="Century Schoolbook" w:hAnsi="Century Schoolbook" w:cs="Times New Roman"/>
          <w:sz w:val="24"/>
          <w:szCs w:val="24"/>
        </w:rPr>
        <w:t>,</w:t>
      </w:r>
      <w:r w:rsidR="00D04898" w:rsidRPr="00D04898">
        <w:rPr>
          <w:rFonts w:ascii="Century Schoolbook" w:hAnsi="Century Schoolbook" w:cs="Times New Roman"/>
          <w:sz w:val="24"/>
          <w:szCs w:val="24"/>
        </w:rPr>
        <w:t xml:space="preserve"> </w:t>
      </w:r>
      <w:r w:rsidR="00D04898">
        <w:rPr>
          <w:rFonts w:ascii="Century Schoolbook" w:hAnsi="Century Schoolbook" w:cs="Times New Roman"/>
          <w:sz w:val="24"/>
          <w:szCs w:val="24"/>
        </w:rPr>
        <w:t>some criminal,</w:t>
      </w:r>
      <w:r w:rsidR="00937475"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committed</w:t>
      </w:r>
      <w:r w:rsidR="00582915" w:rsidRPr="006C6879">
        <w:rPr>
          <w:rFonts w:ascii="Century Schoolbook" w:hAnsi="Century Schoolbook" w:cs="Times New Roman"/>
          <w:sz w:val="24"/>
          <w:szCs w:val="24"/>
        </w:rPr>
        <w:t xml:space="preserve"> </w:t>
      </w:r>
      <w:r w:rsidR="00C23F6F" w:rsidRPr="006C6879">
        <w:rPr>
          <w:rFonts w:ascii="Century Schoolbook" w:hAnsi="Century Schoolbook" w:cs="Times New Roman"/>
          <w:sz w:val="24"/>
          <w:szCs w:val="24"/>
        </w:rPr>
        <w:t xml:space="preserve">by LASA’s top officers </w:t>
      </w:r>
      <w:r w:rsidR="007B13BB" w:rsidRPr="006C6879">
        <w:rPr>
          <w:rFonts w:ascii="Century Schoolbook" w:hAnsi="Century Schoolbook" w:cs="Times New Roman"/>
          <w:sz w:val="24"/>
          <w:szCs w:val="24"/>
        </w:rPr>
        <w:t xml:space="preserve">prior to and </w:t>
      </w:r>
      <w:r w:rsidR="00582915" w:rsidRPr="006C6879">
        <w:rPr>
          <w:rFonts w:ascii="Century Schoolbook" w:hAnsi="Century Schoolbook" w:cs="Times New Roman"/>
          <w:sz w:val="24"/>
          <w:szCs w:val="24"/>
        </w:rPr>
        <w:t>in the course of the cover</w:t>
      </w:r>
      <w:r w:rsidR="00C23F6F" w:rsidRPr="006C6879">
        <w:rPr>
          <w:rFonts w:ascii="Century Schoolbook" w:hAnsi="Century Schoolbook" w:cs="Times New Roman"/>
          <w:sz w:val="24"/>
          <w:szCs w:val="24"/>
        </w:rPr>
        <w:t>-</w:t>
      </w:r>
      <w:r w:rsidR="00582915" w:rsidRPr="006C6879">
        <w:rPr>
          <w:rFonts w:ascii="Century Schoolbook" w:hAnsi="Century Schoolbook" w:cs="Times New Roman"/>
          <w:sz w:val="24"/>
          <w:szCs w:val="24"/>
        </w:rPr>
        <w:t>up</w:t>
      </w:r>
      <w:r w:rsidR="00D94522">
        <w:rPr>
          <w:rFonts w:ascii="Century Schoolbook" w:hAnsi="Century Schoolbook" w:cs="Times New Roman"/>
          <w:sz w:val="24"/>
          <w:szCs w:val="24"/>
        </w:rPr>
        <w:t xml:space="preserve">, in which the express wishes of both Parliament and the Justice Minister were defied, </w:t>
      </w:r>
      <w:r w:rsidR="0094756E">
        <w:rPr>
          <w:rFonts w:ascii="Century Schoolbook" w:hAnsi="Century Schoolbook" w:cs="Times New Roman"/>
          <w:sz w:val="24"/>
          <w:szCs w:val="24"/>
        </w:rPr>
        <w:t xml:space="preserve">to the massive detriment of </w:t>
      </w:r>
      <w:r w:rsidR="00D94522" w:rsidRPr="006C6879">
        <w:rPr>
          <w:rFonts w:ascii="Century Schoolbook" w:hAnsi="Century Schoolbook" w:cs="Times New Roman"/>
          <w:sz w:val="24"/>
          <w:szCs w:val="24"/>
        </w:rPr>
        <w:t>critical service delivery</w:t>
      </w:r>
      <w:r w:rsidR="00D94522">
        <w:rPr>
          <w:rFonts w:ascii="Century Schoolbook" w:hAnsi="Century Schoolbook" w:cs="Times New Roman"/>
          <w:sz w:val="24"/>
          <w:szCs w:val="24"/>
        </w:rPr>
        <w:t xml:space="preserve"> to the country’s indigent</w:t>
      </w:r>
      <w:r w:rsidR="00940367">
        <w:rPr>
          <w:rFonts w:ascii="Century Schoolbook" w:hAnsi="Century Schoolbook" w:cs="Times New Roman"/>
          <w:sz w:val="24"/>
          <w:szCs w:val="24"/>
        </w:rPr>
        <w:t>.</w:t>
      </w:r>
    </w:p>
    <w:p w:rsidR="005F3F8F" w:rsidRDefault="00BE295F" w:rsidP="005F3F8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BE295F">
        <w:rPr>
          <w:rFonts w:ascii="Century Schoolbook" w:hAnsi="Century Schoolbook" w:cs="Times New Roman"/>
          <w:sz w:val="24"/>
          <w:szCs w:val="24"/>
        </w:rPr>
        <w:t>Part</w:t>
      </w:r>
      <w:r w:rsidR="00302CB0">
        <w:rPr>
          <w:rFonts w:ascii="Century Schoolbook" w:hAnsi="Century Schoolbook" w:cs="Times New Roman"/>
          <w:sz w:val="24"/>
          <w:szCs w:val="24"/>
        </w:rPr>
        <w:t xml:space="preserve"> Two and </w:t>
      </w:r>
      <w:r w:rsidR="002A0259">
        <w:rPr>
          <w:rFonts w:ascii="Century Schoolbook" w:hAnsi="Century Schoolbook" w:cs="Times New Roman"/>
          <w:sz w:val="24"/>
          <w:szCs w:val="24"/>
        </w:rPr>
        <w:t>other</w:t>
      </w:r>
      <w:r w:rsidR="00302CB0">
        <w:rPr>
          <w:rFonts w:ascii="Century Schoolbook" w:hAnsi="Century Schoolbook" w:cs="Times New Roman"/>
          <w:sz w:val="24"/>
          <w:szCs w:val="24"/>
        </w:rPr>
        <w:t xml:space="preserve"> </w:t>
      </w:r>
      <w:r w:rsidR="007864BA">
        <w:rPr>
          <w:rFonts w:ascii="Century Schoolbook" w:hAnsi="Century Schoolbook" w:cs="Times New Roman"/>
          <w:sz w:val="24"/>
          <w:szCs w:val="24"/>
        </w:rPr>
        <w:t>p</w:t>
      </w:r>
      <w:r w:rsidR="00302CB0">
        <w:rPr>
          <w:rFonts w:ascii="Century Schoolbook" w:hAnsi="Century Schoolbook" w:cs="Times New Roman"/>
          <w:sz w:val="24"/>
          <w:szCs w:val="24"/>
        </w:rPr>
        <w:t>art</w:t>
      </w:r>
      <w:r w:rsidRPr="00BE295F">
        <w:rPr>
          <w:rFonts w:ascii="Century Schoolbook" w:hAnsi="Century Schoolbook" w:cs="Times New Roman"/>
          <w:sz w:val="24"/>
          <w:szCs w:val="24"/>
        </w:rPr>
        <w:t>s of</w:t>
      </w:r>
      <w:r w:rsidR="00305203" w:rsidRPr="00BE295F">
        <w:rPr>
          <w:rFonts w:ascii="Century Schoolbook" w:hAnsi="Century Schoolbook" w:cs="Times New Roman"/>
          <w:sz w:val="24"/>
          <w:szCs w:val="24"/>
        </w:rPr>
        <w:t xml:space="preserve"> this complaint to follow</w:t>
      </w:r>
      <w:r w:rsidR="00052342" w:rsidRPr="00BE295F">
        <w:rPr>
          <w:rFonts w:ascii="Century Schoolbook" w:hAnsi="Century Schoolbook" w:cs="Times New Roman"/>
          <w:sz w:val="24"/>
          <w:szCs w:val="24"/>
        </w:rPr>
        <w:t xml:space="preserve"> </w:t>
      </w:r>
      <w:r w:rsidR="00A35CD1" w:rsidRPr="00BE295F">
        <w:rPr>
          <w:rFonts w:ascii="Century Schoolbook" w:hAnsi="Century Schoolbook" w:cs="Times New Roman"/>
          <w:sz w:val="24"/>
          <w:szCs w:val="24"/>
        </w:rPr>
        <w:t xml:space="preserve">will detail </w:t>
      </w:r>
      <w:r w:rsidR="00092EAF">
        <w:rPr>
          <w:rFonts w:ascii="Century Schoolbook" w:hAnsi="Century Schoolbook" w:cs="Times New Roman"/>
          <w:sz w:val="24"/>
          <w:szCs w:val="24"/>
        </w:rPr>
        <w:t xml:space="preserve">further material irregularities in the form of </w:t>
      </w:r>
      <w:r w:rsidR="00A35CD1" w:rsidRPr="00BE295F">
        <w:rPr>
          <w:rFonts w:ascii="Century Schoolbook" w:hAnsi="Century Schoolbook" w:cs="Times New Roman"/>
          <w:sz w:val="24"/>
          <w:szCs w:val="24"/>
        </w:rPr>
        <w:t xml:space="preserve">procedural and ethical corruption of </w:t>
      </w:r>
      <w:r w:rsidR="00305203" w:rsidRPr="00BE295F">
        <w:rPr>
          <w:rFonts w:ascii="Century Schoolbook" w:hAnsi="Century Schoolbook" w:cs="Times New Roman"/>
          <w:sz w:val="24"/>
          <w:szCs w:val="24"/>
        </w:rPr>
        <w:t xml:space="preserve">staff </w:t>
      </w:r>
      <w:r w:rsidR="00A35CD1" w:rsidRPr="00BE295F">
        <w:rPr>
          <w:rFonts w:ascii="Century Schoolbook" w:hAnsi="Century Schoolbook" w:cs="Times New Roman"/>
          <w:sz w:val="24"/>
          <w:szCs w:val="24"/>
        </w:rPr>
        <w:lastRenderedPageBreak/>
        <w:t>recruitment at LASA</w:t>
      </w:r>
      <w:r w:rsidR="00305203" w:rsidRPr="00BE295F">
        <w:rPr>
          <w:rFonts w:ascii="Century Schoolbook" w:hAnsi="Century Schoolbook" w:cs="Times New Roman"/>
          <w:sz w:val="24"/>
          <w:szCs w:val="24"/>
        </w:rPr>
        <w:t xml:space="preserve">, and </w:t>
      </w:r>
      <w:r w:rsidR="001353E6" w:rsidRPr="00BE295F">
        <w:rPr>
          <w:rFonts w:ascii="Century Schoolbook" w:hAnsi="Century Schoolbook" w:cs="Times New Roman"/>
          <w:sz w:val="24"/>
          <w:szCs w:val="24"/>
        </w:rPr>
        <w:t xml:space="preserve">further </w:t>
      </w:r>
      <w:r w:rsidR="00305203" w:rsidRPr="00BE295F">
        <w:rPr>
          <w:rFonts w:ascii="Century Schoolbook" w:hAnsi="Century Schoolbook" w:cs="Times New Roman"/>
          <w:sz w:val="24"/>
          <w:szCs w:val="24"/>
        </w:rPr>
        <w:t xml:space="preserve">ethical and criminal </w:t>
      </w:r>
      <w:r w:rsidR="00AD2463" w:rsidRPr="00BE295F">
        <w:rPr>
          <w:rFonts w:ascii="Century Schoolbook" w:hAnsi="Century Schoolbook" w:cs="Times New Roman"/>
          <w:sz w:val="24"/>
          <w:szCs w:val="24"/>
        </w:rPr>
        <w:t>misconduct in covering it up</w:t>
      </w:r>
      <w:r w:rsidR="006F2427">
        <w:rPr>
          <w:rFonts w:ascii="Century Schoolbook" w:hAnsi="Century Schoolbook" w:cs="Times New Roman"/>
          <w:sz w:val="24"/>
          <w:szCs w:val="24"/>
        </w:rPr>
        <w:t>.</w:t>
      </w:r>
      <w:r w:rsidR="00AD2463" w:rsidRPr="00BE295F">
        <w:rPr>
          <w:rFonts w:ascii="Century Schoolbook" w:hAnsi="Century Schoolbook" w:cs="Times New Roman"/>
          <w:sz w:val="24"/>
          <w:szCs w:val="24"/>
        </w:rPr>
        <w:t xml:space="preserve"> </w:t>
      </w:r>
    </w:p>
    <w:p w:rsidR="00CC3D20" w:rsidRPr="00CC3D20" w:rsidRDefault="00CC3D20" w:rsidP="00CC3D20">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CC3D20">
        <w:rPr>
          <w:rFonts w:ascii="Century Schoolbook" w:hAnsi="Century Schoolbook" w:cs="Times New Roman"/>
          <w:b/>
          <w:sz w:val="24"/>
          <w:szCs w:val="24"/>
        </w:rPr>
        <w:t>TABLE OF CONTENTS</w:t>
      </w:r>
    </w:p>
    <w:tbl>
      <w:tblPr>
        <w:tblStyle w:val="TableGrid"/>
        <w:tblW w:w="9214" w:type="dxa"/>
        <w:tblInd w:w="108" w:type="dxa"/>
        <w:tblLayout w:type="fixed"/>
        <w:tblLook w:val="04A0"/>
      </w:tblPr>
      <w:tblGrid>
        <w:gridCol w:w="7938"/>
        <w:gridCol w:w="1276"/>
      </w:tblGrid>
      <w:tr w:rsidR="00B04E5E" w:rsidRPr="006C6879" w:rsidTr="00B04E5E">
        <w:tc>
          <w:tcPr>
            <w:tcW w:w="7938" w:type="dxa"/>
          </w:tcPr>
          <w:p w:rsidR="00B04E5E" w:rsidRPr="006C6879" w:rsidRDefault="00C36398" w:rsidP="00B356B5">
            <w:pPr>
              <w:pStyle w:val="ListParagraph"/>
              <w:tabs>
                <w:tab w:val="left" w:pos="284"/>
              </w:tabs>
              <w:spacing w:before="200" w:line="360" w:lineRule="auto"/>
              <w:ind w:left="0"/>
              <w:contextualSpacing w:val="0"/>
              <w:rPr>
                <w:rFonts w:ascii="Century Schoolbook" w:hAnsi="Century Schoolbook" w:cs="Times New Roman"/>
                <w:b/>
                <w:sz w:val="24"/>
                <w:szCs w:val="24"/>
              </w:rPr>
            </w:pPr>
            <w:r>
              <w:rPr>
                <w:rFonts w:ascii="Century Schoolbook" w:hAnsi="Century Schoolbook" w:cs="Times New Roman"/>
                <w:b/>
                <w:sz w:val="24"/>
                <w:szCs w:val="24"/>
              </w:rPr>
              <w:t>SUBJECT</w:t>
            </w:r>
          </w:p>
        </w:tc>
        <w:tc>
          <w:tcPr>
            <w:tcW w:w="1276" w:type="dxa"/>
          </w:tcPr>
          <w:p w:rsidR="00B04E5E" w:rsidRPr="006C6879" w:rsidRDefault="00B04E5E" w:rsidP="00F9372D">
            <w:pPr>
              <w:pStyle w:val="ListParagraph"/>
              <w:tabs>
                <w:tab w:val="left" w:pos="284"/>
              </w:tabs>
              <w:spacing w:before="200" w:line="360" w:lineRule="auto"/>
              <w:ind w:left="0"/>
              <w:contextualSpacing w:val="0"/>
              <w:jc w:val="center"/>
              <w:rPr>
                <w:rFonts w:ascii="Century Schoolbook" w:hAnsi="Century Schoolbook" w:cs="Times New Roman"/>
                <w:b/>
                <w:sz w:val="24"/>
                <w:szCs w:val="24"/>
              </w:rPr>
            </w:pPr>
            <w:r w:rsidRPr="006C6879">
              <w:rPr>
                <w:rFonts w:ascii="Century Schoolbook" w:hAnsi="Century Schoolbook" w:cs="Times New Roman"/>
                <w:b/>
                <w:sz w:val="24"/>
                <w:szCs w:val="24"/>
              </w:rPr>
              <w:t>PARA’S</w:t>
            </w:r>
          </w:p>
        </w:tc>
      </w:tr>
      <w:tr w:rsidR="00B04E5E" w:rsidRPr="006C6879" w:rsidTr="00B04E5E">
        <w:tc>
          <w:tcPr>
            <w:tcW w:w="7938" w:type="dxa"/>
          </w:tcPr>
          <w:p w:rsidR="00B04E5E" w:rsidRPr="006C6879" w:rsidRDefault="00B04E5E" w:rsidP="0018617F">
            <w:pPr>
              <w:tabs>
                <w:tab w:val="left" w:pos="284"/>
                <w:tab w:val="left" w:pos="426"/>
              </w:tabs>
              <w:spacing w:before="200" w:line="360" w:lineRule="auto"/>
              <w:rPr>
                <w:rFonts w:ascii="Century Schoolbook" w:hAnsi="Century Schoolbook" w:cs="Times New Roman"/>
                <w:sz w:val="24"/>
                <w:szCs w:val="24"/>
              </w:rPr>
            </w:pPr>
            <w:r w:rsidRPr="006C6879">
              <w:rPr>
                <w:rFonts w:ascii="Century Schoolbook" w:hAnsi="Century Schoolbook" w:cs="Times New Roman"/>
                <w:sz w:val="24"/>
                <w:szCs w:val="24"/>
              </w:rPr>
              <w:t>INTRODUCTION</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5–</w:t>
            </w:r>
            <w:r w:rsidR="00BD7AED">
              <w:rPr>
                <w:rFonts w:ascii="Century Schoolbook" w:hAnsi="Century Schoolbook" w:cs="Times New Roman"/>
                <w:sz w:val="24"/>
                <w:szCs w:val="24"/>
              </w:rPr>
              <w:t>10</w:t>
            </w:r>
          </w:p>
        </w:tc>
      </w:tr>
      <w:tr w:rsidR="00B04E5E" w:rsidRPr="006C6879" w:rsidTr="00B04E5E">
        <w:tc>
          <w:tcPr>
            <w:tcW w:w="7938" w:type="dxa"/>
          </w:tcPr>
          <w:p w:rsidR="00B04E5E" w:rsidRPr="006C6879" w:rsidRDefault="00F71116" w:rsidP="00A37F51">
            <w:pPr>
              <w:pStyle w:val="ListParagraph"/>
              <w:tabs>
                <w:tab w:val="left" w:pos="284"/>
              </w:tabs>
              <w:spacing w:before="200" w:line="360" w:lineRule="auto"/>
              <w:ind w:left="0"/>
              <w:contextualSpacing w:val="0"/>
              <w:rPr>
                <w:rFonts w:ascii="Century Schoolbook" w:hAnsi="Century Schoolbook" w:cs="Times New Roman"/>
                <w:sz w:val="24"/>
                <w:szCs w:val="24"/>
              </w:rPr>
            </w:pPr>
            <w:r w:rsidRPr="00F71116">
              <w:rPr>
                <w:rFonts w:ascii="Century Schoolbook" w:hAnsi="Century Schoolbook" w:cs="Times New Roman"/>
                <w:sz w:val="24"/>
                <w:szCs w:val="24"/>
              </w:rPr>
              <w:t>PROVISIONS OF THE PFMA, THE PAA, AND THE CONSTITUTION GENERALLY RELEVANT TO THE COMPLAINT</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1</w:t>
            </w:r>
            <w:r w:rsidR="00BD7AED">
              <w:rPr>
                <w:rFonts w:ascii="Century Schoolbook" w:hAnsi="Century Schoolbook" w:cs="Times New Roman"/>
                <w:sz w:val="24"/>
                <w:szCs w:val="24"/>
              </w:rPr>
              <w:t>1</w:t>
            </w:r>
            <w:r w:rsidRPr="0064430E">
              <w:rPr>
                <w:rFonts w:ascii="Century Schoolbook" w:hAnsi="Century Schoolbook" w:cs="Times New Roman"/>
                <w:sz w:val="24"/>
                <w:szCs w:val="24"/>
              </w:rPr>
              <w:t>–</w:t>
            </w:r>
            <w:r w:rsidR="00CE3E49" w:rsidRPr="0064430E">
              <w:rPr>
                <w:rFonts w:ascii="Century Schoolbook" w:hAnsi="Century Schoolbook" w:cs="Times New Roman"/>
                <w:sz w:val="24"/>
                <w:szCs w:val="24"/>
              </w:rPr>
              <w:t>2</w:t>
            </w:r>
            <w:r w:rsidR="00BD7AED">
              <w:rPr>
                <w:rFonts w:ascii="Century Schoolbook" w:hAnsi="Century Schoolbook" w:cs="Times New Roman"/>
                <w:sz w:val="24"/>
                <w:szCs w:val="24"/>
              </w:rPr>
              <w:t>4</w:t>
            </w:r>
          </w:p>
        </w:tc>
      </w:tr>
      <w:tr w:rsidR="00B04E5E" w:rsidRPr="006C6879" w:rsidTr="00B04E5E">
        <w:tc>
          <w:tcPr>
            <w:tcW w:w="7938" w:type="dxa"/>
          </w:tcPr>
          <w:p w:rsidR="00B04E5E" w:rsidRPr="006C6879" w:rsidRDefault="00A77F60" w:rsidP="008E3B8E">
            <w:pPr>
              <w:pStyle w:val="ListParagraph"/>
              <w:tabs>
                <w:tab w:val="left" w:pos="284"/>
              </w:tabs>
              <w:spacing w:before="200" w:line="360" w:lineRule="auto"/>
              <w:ind w:left="0"/>
              <w:contextualSpacing w:val="0"/>
              <w:rPr>
                <w:rFonts w:ascii="Century Schoolbook" w:hAnsi="Century Schoolbook" w:cs="Times New Roman"/>
                <w:sz w:val="24"/>
                <w:szCs w:val="24"/>
              </w:rPr>
            </w:pPr>
            <w:r w:rsidRPr="00A77F60">
              <w:rPr>
                <w:rFonts w:ascii="Century Schoolbook" w:hAnsi="Century Schoolbook" w:cs="Times New Roman"/>
                <w:sz w:val="24"/>
                <w:szCs w:val="24"/>
              </w:rPr>
              <w:t xml:space="preserve">LASA’S CREATION OF ITS SENIOR LITIGATOR POSTS, AND </w:t>
            </w:r>
            <w:r w:rsidR="002A0259">
              <w:rPr>
                <w:rFonts w:ascii="Century Schoolbook" w:hAnsi="Century Schoolbook" w:cs="Times New Roman"/>
                <w:sz w:val="24"/>
                <w:szCs w:val="24"/>
              </w:rPr>
              <w:t xml:space="preserve">ITS </w:t>
            </w:r>
            <w:r w:rsidRPr="00A77F60">
              <w:rPr>
                <w:rFonts w:ascii="Century Schoolbook" w:hAnsi="Century Schoolbook" w:cs="Times New Roman"/>
                <w:sz w:val="24"/>
                <w:szCs w:val="24"/>
              </w:rPr>
              <w:t>REASON FOR DOING SO</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2</w:t>
            </w:r>
            <w:r w:rsidR="00BD7AED">
              <w:rPr>
                <w:rFonts w:ascii="Century Schoolbook" w:hAnsi="Century Schoolbook" w:cs="Times New Roman"/>
                <w:sz w:val="24"/>
                <w:szCs w:val="24"/>
              </w:rPr>
              <w:t>5</w:t>
            </w:r>
            <w:r w:rsidRPr="0064430E">
              <w:rPr>
                <w:rFonts w:ascii="Century Schoolbook" w:hAnsi="Century Schoolbook" w:cs="Times New Roman"/>
                <w:sz w:val="24"/>
                <w:szCs w:val="24"/>
              </w:rPr>
              <w:t>–</w:t>
            </w:r>
            <w:r w:rsidR="00CE3E49" w:rsidRPr="0064430E">
              <w:rPr>
                <w:rFonts w:ascii="Century Schoolbook" w:hAnsi="Century Schoolbook" w:cs="Times New Roman"/>
                <w:sz w:val="24"/>
                <w:szCs w:val="24"/>
              </w:rPr>
              <w:t>3</w:t>
            </w:r>
            <w:r w:rsidR="00BD7AED">
              <w:rPr>
                <w:rFonts w:ascii="Century Schoolbook" w:hAnsi="Century Schoolbook" w:cs="Times New Roman"/>
                <w:sz w:val="24"/>
                <w:szCs w:val="24"/>
              </w:rPr>
              <w:t>2</w:t>
            </w:r>
          </w:p>
        </w:tc>
      </w:tr>
      <w:tr w:rsidR="00B04E5E" w:rsidRPr="006C6879" w:rsidTr="00B04E5E">
        <w:tc>
          <w:tcPr>
            <w:tcW w:w="7938" w:type="dxa"/>
          </w:tcPr>
          <w:p w:rsidR="00B04E5E" w:rsidRPr="006C6879" w:rsidRDefault="00CC33D7" w:rsidP="00CC33D7">
            <w:pPr>
              <w:pStyle w:val="ListParagraph"/>
              <w:tabs>
                <w:tab w:val="left" w:pos="284"/>
              </w:tabs>
              <w:spacing w:before="200" w:line="360" w:lineRule="auto"/>
              <w:ind w:left="0"/>
              <w:contextualSpacing w:val="0"/>
              <w:rPr>
                <w:rFonts w:ascii="Century Schoolbook" w:hAnsi="Century Schoolbook" w:cs="Times New Roman"/>
                <w:sz w:val="24"/>
                <w:szCs w:val="24"/>
              </w:rPr>
            </w:pPr>
            <w:r w:rsidRPr="00CC33D7">
              <w:rPr>
                <w:rFonts w:ascii="Century Schoolbook" w:hAnsi="Century Schoolbook" w:cs="Times New Roman"/>
                <w:sz w:val="24"/>
                <w:szCs w:val="24"/>
              </w:rPr>
              <w:t>THE JUSTICE PORTFOLIO COMMITTEE’S REPEATEDLY EXPRESSED CONCERN ABOUT INADEQUATE LEGAL EXPERTISE AVAILABLE TO THE PUBLIC AT LASA; LASA’S REPEATED CONCESSION OF THE PROBLEM; AND THE JUSTICE PORTFOLIO’S SPECIFIC CONCERN THAT LASA EMPLOY SENIOR LITIGATORS TO REMEDY IT</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3</w:t>
            </w:r>
            <w:r w:rsidR="00BD7AED">
              <w:rPr>
                <w:rFonts w:ascii="Century Schoolbook" w:hAnsi="Century Schoolbook" w:cs="Times New Roman"/>
                <w:sz w:val="24"/>
                <w:szCs w:val="24"/>
              </w:rPr>
              <w:t>3</w:t>
            </w:r>
            <w:r w:rsidRPr="0064430E">
              <w:rPr>
                <w:rFonts w:ascii="Century Schoolbook" w:hAnsi="Century Schoolbook" w:cs="Times New Roman"/>
                <w:sz w:val="24"/>
                <w:szCs w:val="24"/>
              </w:rPr>
              <w:t>–</w:t>
            </w:r>
            <w:r w:rsidR="00BD7AED">
              <w:rPr>
                <w:rFonts w:ascii="Century Schoolbook" w:hAnsi="Century Schoolbook" w:cs="Times New Roman"/>
                <w:sz w:val="24"/>
                <w:szCs w:val="24"/>
              </w:rPr>
              <w:t>40</w:t>
            </w:r>
          </w:p>
        </w:tc>
      </w:tr>
      <w:tr w:rsidR="00B04E5E" w:rsidRPr="006C6879" w:rsidTr="00B04E5E">
        <w:tc>
          <w:tcPr>
            <w:tcW w:w="7938" w:type="dxa"/>
          </w:tcPr>
          <w:p w:rsidR="00B04E5E" w:rsidRPr="006C6879" w:rsidRDefault="00B04E5E" w:rsidP="00BF75C0">
            <w:pPr>
              <w:pStyle w:val="ListParagraph"/>
              <w:tabs>
                <w:tab w:val="left" w:pos="284"/>
              </w:tabs>
              <w:spacing w:before="200" w:line="360" w:lineRule="auto"/>
              <w:ind w:left="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w:t>
            </w:r>
            <w:r w:rsidR="00CC33D7" w:rsidRPr="00CC33D7">
              <w:rPr>
                <w:rFonts w:ascii="Century Schoolbook" w:hAnsi="Century Schoolbook" w:cs="Times New Roman"/>
                <w:sz w:val="24"/>
                <w:szCs w:val="24"/>
              </w:rPr>
              <w:t>JUSTICE PORTFOLIO</w:t>
            </w:r>
            <w:r w:rsidR="00CC33D7">
              <w:rPr>
                <w:rFonts w:ascii="Century Schoolbook" w:hAnsi="Century Schoolbook" w:cs="Times New Roman"/>
                <w:sz w:val="24"/>
                <w:szCs w:val="24"/>
              </w:rPr>
              <w:t xml:space="preserve"> </w:t>
            </w:r>
            <w:r w:rsidR="00CC33D7" w:rsidRPr="00CC33D7">
              <w:rPr>
                <w:rFonts w:ascii="Century Schoolbook" w:hAnsi="Century Schoolbook" w:cs="Times New Roman"/>
                <w:sz w:val="24"/>
                <w:szCs w:val="24"/>
              </w:rPr>
              <w:t>COMMITTEE</w:t>
            </w:r>
            <w:r w:rsidRPr="006C6879">
              <w:rPr>
                <w:rFonts w:ascii="Century Schoolbook" w:hAnsi="Century Schoolbook" w:cs="Times New Roman"/>
                <w:sz w:val="24"/>
                <w:szCs w:val="24"/>
              </w:rPr>
              <w:t>’S REPEATEDLY EXPRESSED CONCERN THAT VACANT POSTS IN THE JUSTICE CLUSTER BE FILLED, ESPECIALLY CRITICAL POSTS</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4</w:t>
            </w:r>
            <w:r w:rsidR="00BD7AED">
              <w:rPr>
                <w:rFonts w:ascii="Century Schoolbook" w:hAnsi="Century Schoolbook" w:cs="Times New Roman"/>
                <w:sz w:val="24"/>
                <w:szCs w:val="24"/>
              </w:rPr>
              <w:t>1</w:t>
            </w:r>
          </w:p>
        </w:tc>
      </w:tr>
      <w:tr w:rsidR="00B04E5E" w:rsidRPr="006C6879" w:rsidTr="00B04E5E">
        <w:tc>
          <w:tcPr>
            <w:tcW w:w="7938" w:type="dxa"/>
          </w:tcPr>
          <w:p w:rsidR="00B04E5E" w:rsidRPr="006C6879" w:rsidRDefault="002E3015" w:rsidP="00BF75C0">
            <w:pPr>
              <w:pStyle w:val="ListParagraph"/>
              <w:tabs>
                <w:tab w:val="left" w:pos="284"/>
              </w:tabs>
              <w:spacing w:before="200" w:line="360" w:lineRule="auto"/>
              <w:ind w:left="0"/>
              <w:contextualSpacing w:val="0"/>
              <w:rPr>
                <w:rFonts w:ascii="Century Schoolbook" w:hAnsi="Century Schoolbook" w:cs="Times New Roman"/>
                <w:sz w:val="24"/>
                <w:szCs w:val="24"/>
              </w:rPr>
            </w:pPr>
            <w:r w:rsidRPr="002E3015">
              <w:rPr>
                <w:rFonts w:ascii="Century Schoolbook" w:hAnsi="Century Schoolbook" w:cs="Times New Roman"/>
                <w:sz w:val="24"/>
                <w:szCs w:val="24"/>
              </w:rPr>
              <w:t xml:space="preserve">THE JUSTICE MINISTER’S </w:t>
            </w:r>
            <w:r w:rsidR="00871F5B">
              <w:rPr>
                <w:rFonts w:ascii="Century Schoolbook" w:hAnsi="Century Schoolbook" w:cs="Times New Roman"/>
                <w:sz w:val="24"/>
                <w:szCs w:val="24"/>
              </w:rPr>
              <w:t xml:space="preserve">SPECIFIC </w:t>
            </w:r>
            <w:r w:rsidRPr="002E3015">
              <w:rPr>
                <w:rFonts w:ascii="Century Schoolbook" w:hAnsi="Century Schoolbook" w:cs="Times New Roman"/>
                <w:sz w:val="24"/>
                <w:szCs w:val="24"/>
              </w:rPr>
              <w:t>CONCERN STATED TO LASA’S CHAIRPERSON</w:t>
            </w:r>
            <w:r w:rsidR="00940367">
              <w:rPr>
                <w:rFonts w:ascii="Century Schoolbook" w:hAnsi="Century Schoolbook" w:cs="Times New Roman"/>
                <w:sz w:val="24"/>
                <w:szCs w:val="24"/>
              </w:rPr>
              <w:t xml:space="preserve"> </w:t>
            </w:r>
            <w:r w:rsidRPr="002E3015">
              <w:rPr>
                <w:rFonts w:ascii="Century Schoolbook" w:hAnsi="Century Schoolbook" w:cs="Times New Roman"/>
                <w:sz w:val="24"/>
                <w:szCs w:val="24"/>
              </w:rPr>
              <w:t xml:space="preserve">THAT LASA SHOULD FILL ITS VACANT POSTS AND NOT FREEZE ANY, AND THAT IT SHOULD MAINTAIN </w:t>
            </w:r>
            <w:r w:rsidR="007C60E6">
              <w:rPr>
                <w:rFonts w:ascii="Century Schoolbook" w:hAnsi="Century Schoolbook" w:cs="Times New Roman"/>
                <w:sz w:val="24"/>
                <w:szCs w:val="24"/>
              </w:rPr>
              <w:t xml:space="preserve">ITS </w:t>
            </w:r>
            <w:r w:rsidR="00E75734" w:rsidRPr="002E3015">
              <w:rPr>
                <w:rFonts w:ascii="Century Schoolbook" w:hAnsi="Century Schoolbook" w:cs="Times New Roman"/>
                <w:sz w:val="24"/>
                <w:szCs w:val="24"/>
              </w:rPr>
              <w:t xml:space="preserve">DELIVERY </w:t>
            </w:r>
            <w:r w:rsidR="007C60E6">
              <w:rPr>
                <w:rFonts w:ascii="Century Schoolbook" w:hAnsi="Century Schoolbook" w:cs="Times New Roman"/>
                <w:sz w:val="24"/>
                <w:szCs w:val="24"/>
              </w:rPr>
              <w:t>OF</w:t>
            </w:r>
            <w:r w:rsidR="00E75734">
              <w:rPr>
                <w:rFonts w:ascii="Century Schoolbook" w:hAnsi="Century Schoolbook" w:cs="Times New Roman"/>
                <w:sz w:val="24"/>
                <w:szCs w:val="24"/>
              </w:rPr>
              <w:t xml:space="preserve"> </w:t>
            </w:r>
            <w:r w:rsidRPr="002E3015">
              <w:rPr>
                <w:rFonts w:ascii="Century Schoolbook" w:hAnsi="Century Schoolbook" w:cs="Times New Roman"/>
                <w:sz w:val="24"/>
                <w:szCs w:val="24"/>
              </w:rPr>
              <w:t>LEGAL SERVICE</w:t>
            </w:r>
            <w:r w:rsidR="00E75734">
              <w:rPr>
                <w:rFonts w:ascii="Century Schoolbook" w:hAnsi="Century Schoolbook" w:cs="Times New Roman"/>
                <w:sz w:val="24"/>
                <w:szCs w:val="24"/>
              </w:rPr>
              <w:t>S</w:t>
            </w:r>
            <w:r w:rsidR="00BF75C0">
              <w:rPr>
                <w:rFonts w:ascii="Century Schoolbook" w:hAnsi="Century Schoolbook" w:cs="Times New Roman"/>
                <w:sz w:val="24"/>
                <w:szCs w:val="24"/>
              </w:rPr>
              <w:t xml:space="preserve"> AS PLANNED</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4</w:t>
            </w:r>
            <w:r w:rsidR="00BD7AED">
              <w:rPr>
                <w:rFonts w:ascii="Century Schoolbook" w:hAnsi="Century Schoolbook" w:cs="Times New Roman"/>
                <w:sz w:val="24"/>
                <w:szCs w:val="24"/>
              </w:rPr>
              <w:t>2</w:t>
            </w:r>
            <w:r w:rsidRPr="0064430E">
              <w:rPr>
                <w:rFonts w:ascii="Century Schoolbook" w:hAnsi="Century Schoolbook" w:cs="Times New Roman"/>
                <w:sz w:val="24"/>
                <w:szCs w:val="24"/>
              </w:rPr>
              <w:t>–</w:t>
            </w:r>
            <w:r w:rsidR="00BD7AED">
              <w:rPr>
                <w:rFonts w:ascii="Century Schoolbook" w:hAnsi="Century Schoolbook" w:cs="Times New Roman"/>
                <w:sz w:val="24"/>
                <w:szCs w:val="24"/>
              </w:rPr>
              <w:t>4</w:t>
            </w:r>
          </w:p>
        </w:tc>
      </w:tr>
      <w:tr w:rsidR="00B04E5E" w:rsidRPr="006C6879" w:rsidTr="00B04E5E">
        <w:tc>
          <w:tcPr>
            <w:tcW w:w="7938" w:type="dxa"/>
          </w:tcPr>
          <w:p w:rsidR="00B04E5E" w:rsidRPr="006C6879" w:rsidRDefault="00B04E5E" w:rsidP="002E3015">
            <w:pPr>
              <w:pStyle w:val="ListParagraph"/>
              <w:tabs>
                <w:tab w:val="left" w:pos="284"/>
              </w:tabs>
              <w:spacing w:before="200" w:line="360" w:lineRule="auto"/>
              <w:ind w:left="0"/>
              <w:contextualSpacing w:val="0"/>
              <w:rPr>
                <w:rFonts w:ascii="Century Schoolbook" w:hAnsi="Century Schoolbook" w:cs="Times New Roman"/>
                <w:sz w:val="24"/>
                <w:szCs w:val="24"/>
              </w:rPr>
            </w:pPr>
            <w:r w:rsidRPr="006C6879">
              <w:rPr>
                <w:rFonts w:ascii="Century Schoolbook" w:hAnsi="Century Schoolbook" w:cs="Times New Roman"/>
                <w:sz w:val="24"/>
                <w:szCs w:val="24"/>
              </w:rPr>
              <w:t>THE EMPLOYMENT OF SENIOR LITIGATORS AS A KEY COMPONENT OF LASA’S STRATEGIC PLAN 2009–12</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t>4</w:t>
            </w:r>
            <w:r w:rsidR="00BD7AED">
              <w:rPr>
                <w:rFonts w:ascii="Century Schoolbook" w:hAnsi="Century Schoolbook" w:cs="Times New Roman"/>
                <w:sz w:val="24"/>
                <w:szCs w:val="24"/>
              </w:rPr>
              <w:t>5</w:t>
            </w:r>
            <w:r w:rsidRPr="0064430E">
              <w:rPr>
                <w:rFonts w:ascii="Century Schoolbook" w:hAnsi="Century Schoolbook" w:cs="Times New Roman"/>
                <w:sz w:val="24"/>
                <w:szCs w:val="24"/>
              </w:rPr>
              <w:t>–</w:t>
            </w:r>
            <w:r w:rsidR="00CE3E49" w:rsidRPr="0064430E">
              <w:rPr>
                <w:rFonts w:ascii="Century Schoolbook" w:hAnsi="Century Schoolbook" w:cs="Times New Roman"/>
                <w:sz w:val="24"/>
                <w:szCs w:val="24"/>
              </w:rPr>
              <w:t>5</w:t>
            </w:r>
            <w:r w:rsidR="00BD7AED">
              <w:rPr>
                <w:rFonts w:ascii="Century Schoolbook" w:hAnsi="Century Schoolbook" w:cs="Times New Roman"/>
                <w:sz w:val="24"/>
                <w:szCs w:val="24"/>
              </w:rPr>
              <w:t>8</w:t>
            </w:r>
          </w:p>
        </w:tc>
      </w:tr>
      <w:tr w:rsidR="00B04E5E" w:rsidRPr="006C6879" w:rsidTr="00B04E5E">
        <w:tc>
          <w:tcPr>
            <w:tcW w:w="7938" w:type="dxa"/>
          </w:tcPr>
          <w:p w:rsidR="00B04E5E" w:rsidRPr="006C6879" w:rsidRDefault="00C35CAB" w:rsidP="00BA4352">
            <w:pPr>
              <w:pStyle w:val="ListParagraph"/>
              <w:tabs>
                <w:tab w:val="left" w:pos="284"/>
              </w:tabs>
              <w:spacing w:before="200" w:line="360" w:lineRule="auto"/>
              <w:ind w:left="0"/>
              <w:contextualSpacing w:val="0"/>
              <w:rPr>
                <w:rFonts w:ascii="Century Schoolbook" w:hAnsi="Century Schoolbook" w:cs="Times New Roman"/>
                <w:sz w:val="24"/>
                <w:szCs w:val="24"/>
              </w:rPr>
            </w:pPr>
            <w:r w:rsidRPr="00C35CAB">
              <w:rPr>
                <w:rFonts w:ascii="Century Schoolbook" w:hAnsi="Century Schoolbook" w:cs="Times New Roman"/>
                <w:sz w:val="24"/>
                <w:szCs w:val="24"/>
              </w:rPr>
              <w:t xml:space="preserve">THE </w:t>
            </w:r>
            <w:r w:rsidR="002B45DF" w:rsidRPr="00C35CAB">
              <w:rPr>
                <w:rFonts w:ascii="Century Schoolbook" w:hAnsi="Century Schoolbook" w:cs="Times New Roman"/>
                <w:sz w:val="24"/>
                <w:szCs w:val="24"/>
              </w:rPr>
              <w:t xml:space="preserve">CONCEALED </w:t>
            </w:r>
            <w:r w:rsidRPr="00C35CAB">
              <w:rPr>
                <w:rFonts w:ascii="Century Schoolbook" w:hAnsi="Century Schoolbook" w:cs="Times New Roman"/>
                <w:sz w:val="24"/>
                <w:szCs w:val="24"/>
              </w:rPr>
              <w:t xml:space="preserve">ILLEGAL ABORTION OF LASA’S STRATEGIC PLAN 2009–12 IN REGARD TO THE EMPLOYMENT OF SENIOR </w:t>
            </w:r>
            <w:r w:rsidRPr="00C35CAB">
              <w:rPr>
                <w:rFonts w:ascii="Century Schoolbook" w:hAnsi="Century Schoolbook" w:cs="Times New Roman"/>
                <w:sz w:val="24"/>
                <w:szCs w:val="24"/>
              </w:rPr>
              <w:lastRenderedPageBreak/>
              <w:t xml:space="preserve">LITIGATORS BEFORE IT WAS COMPLETED, UNLAWFULLY LEAVING A THIRD OF THESE CRITICAL </w:t>
            </w:r>
            <w:r>
              <w:rPr>
                <w:rFonts w:ascii="Century Schoolbook" w:hAnsi="Century Schoolbook" w:cs="Times New Roman"/>
                <w:sz w:val="24"/>
                <w:szCs w:val="24"/>
              </w:rPr>
              <w:t xml:space="preserve">BUDGETED AND FUNDED </w:t>
            </w:r>
            <w:r w:rsidRPr="00C35CAB">
              <w:rPr>
                <w:rFonts w:ascii="Century Schoolbook" w:hAnsi="Century Schoolbook" w:cs="Times New Roman"/>
                <w:sz w:val="24"/>
                <w:szCs w:val="24"/>
              </w:rPr>
              <w:t>POSTS VACANT</w:t>
            </w:r>
            <w:r w:rsidR="00940367">
              <w:rPr>
                <w:rFonts w:ascii="Century Schoolbook" w:hAnsi="Century Schoolbook" w:cs="Times New Roman"/>
                <w:sz w:val="24"/>
                <w:szCs w:val="24"/>
              </w:rPr>
              <w:t>,</w:t>
            </w:r>
            <w:r w:rsidRPr="00C35CAB">
              <w:rPr>
                <w:rFonts w:ascii="Century Schoolbook" w:hAnsi="Century Schoolbook" w:cs="Times New Roman"/>
                <w:sz w:val="24"/>
                <w:szCs w:val="24"/>
              </w:rPr>
              <w:t xml:space="preserve"> IN </w:t>
            </w:r>
            <w:r w:rsidR="004A6142" w:rsidRPr="00092EAF">
              <w:rPr>
                <w:rFonts w:ascii="Century Schoolbook" w:hAnsi="Century Schoolbook" w:cs="Times New Roman"/>
                <w:sz w:val="24"/>
                <w:szCs w:val="24"/>
              </w:rPr>
              <w:t>CONTRAVENTION</w:t>
            </w:r>
            <w:r w:rsidRPr="00C35CAB">
              <w:rPr>
                <w:rFonts w:ascii="Century Schoolbook" w:hAnsi="Century Schoolbook" w:cs="Times New Roman"/>
                <w:sz w:val="24"/>
                <w:szCs w:val="24"/>
              </w:rPr>
              <w:t xml:space="preserve"> OF THE PFMA</w:t>
            </w:r>
            <w:r>
              <w:rPr>
                <w:rFonts w:ascii="Century Schoolbook" w:hAnsi="Century Schoolbook" w:cs="Times New Roman"/>
                <w:sz w:val="24"/>
                <w:szCs w:val="24"/>
              </w:rPr>
              <w:t>,</w:t>
            </w:r>
            <w:r w:rsidRPr="00C35CAB">
              <w:rPr>
                <w:rFonts w:ascii="Century Schoolbook" w:hAnsi="Century Schoolbook" w:cs="Times New Roman"/>
                <w:sz w:val="24"/>
                <w:szCs w:val="24"/>
              </w:rPr>
              <w:t xml:space="preserve"> </w:t>
            </w:r>
            <w:r w:rsidR="00DF1E71">
              <w:rPr>
                <w:rFonts w:ascii="Century Schoolbook" w:hAnsi="Century Schoolbook" w:cs="Times New Roman"/>
                <w:sz w:val="24"/>
                <w:szCs w:val="24"/>
              </w:rPr>
              <w:t>AS</w:t>
            </w:r>
            <w:r w:rsidR="00940367">
              <w:rPr>
                <w:rFonts w:ascii="Century Schoolbook" w:hAnsi="Century Schoolbook" w:cs="Times New Roman"/>
                <w:sz w:val="24"/>
                <w:szCs w:val="24"/>
              </w:rPr>
              <w:t xml:space="preserve"> THE CONSTITUTIONAL COURT</w:t>
            </w:r>
            <w:r w:rsidR="00BA4352">
              <w:rPr>
                <w:rFonts w:ascii="Century Schoolbook" w:hAnsi="Century Schoolbook" w:cs="Times New Roman"/>
                <w:sz w:val="24"/>
                <w:szCs w:val="24"/>
              </w:rPr>
              <w:t xml:space="preserve"> HAS NOTED</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rPr>
            </w:pPr>
            <w:r w:rsidRPr="0064430E">
              <w:rPr>
                <w:rFonts w:ascii="Century Schoolbook" w:hAnsi="Century Schoolbook" w:cs="Times New Roman"/>
                <w:sz w:val="24"/>
                <w:szCs w:val="24"/>
              </w:rPr>
              <w:lastRenderedPageBreak/>
              <w:t>5</w:t>
            </w:r>
            <w:r w:rsidR="00BD7AED">
              <w:rPr>
                <w:rFonts w:ascii="Century Schoolbook" w:hAnsi="Century Schoolbook" w:cs="Times New Roman"/>
                <w:sz w:val="24"/>
                <w:szCs w:val="24"/>
              </w:rPr>
              <w:t>9</w:t>
            </w:r>
            <w:r w:rsidRPr="0064430E">
              <w:rPr>
                <w:rFonts w:ascii="Century Schoolbook" w:hAnsi="Century Schoolbook" w:cs="Times New Roman"/>
                <w:sz w:val="24"/>
                <w:szCs w:val="24"/>
              </w:rPr>
              <w:t>–</w:t>
            </w:r>
            <w:r w:rsidR="00CE3E49" w:rsidRPr="0064430E">
              <w:rPr>
                <w:rFonts w:ascii="Century Schoolbook" w:hAnsi="Century Schoolbook" w:cs="Times New Roman"/>
                <w:sz w:val="24"/>
                <w:szCs w:val="24"/>
              </w:rPr>
              <w:t>7</w:t>
            </w:r>
            <w:r w:rsidR="00BD7AED">
              <w:rPr>
                <w:rFonts w:ascii="Century Schoolbook" w:hAnsi="Century Schoolbook" w:cs="Times New Roman"/>
                <w:sz w:val="24"/>
                <w:szCs w:val="24"/>
              </w:rPr>
              <w:t>4</w:t>
            </w:r>
          </w:p>
        </w:tc>
      </w:tr>
      <w:tr w:rsidR="00B04E5E" w:rsidRPr="006C6879" w:rsidTr="00B04E5E">
        <w:tc>
          <w:tcPr>
            <w:tcW w:w="7938" w:type="dxa"/>
          </w:tcPr>
          <w:p w:rsidR="00B04E5E" w:rsidRPr="006C6879" w:rsidRDefault="006E35B5" w:rsidP="00ED3360">
            <w:pPr>
              <w:pStyle w:val="ListParagraph"/>
              <w:tabs>
                <w:tab w:val="left" w:pos="284"/>
              </w:tabs>
              <w:spacing w:before="200" w:line="360" w:lineRule="auto"/>
              <w:ind w:left="0"/>
              <w:contextualSpacing w:val="0"/>
              <w:rPr>
                <w:rFonts w:ascii="Century Schoolbook" w:hAnsi="Century Schoolbook" w:cs="Times New Roman"/>
                <w:sz w:val="24"/>
                <w:szCs w:val="24"/>
              </w:rPr>
            </w:pPr>
            <w:r>
              <w:rPr>
                <w:rFonts w:ascii="Century Schoolbook" w:hAnsi="Century Schoolbook" w:cs="Times New Roman"/>
                <w:sz w:val="24"/>
                <w:szCs w:val="24"/>
              </w:rPr>
              <w:lastRenderedPageBreak/>
              <w:t xml:space="preserve">CRIMINAL AND OTHER CAPITAL </w:t>
            </w:r>
            <w:r w:rsidR="00092EAF" w:rsidRPr="00092EAF">
              <w:rPr>
                <w:rFonts w:ascii="Century Schoolbook" w:hAnsi="Century Schoolbook" w:cs="Times New Roman"/>
                <w:sz w:val="24"/>
                <w:szCs w:val="24"/>
              </w:rPr>
              <w:t>CONTRAVENTIONS OF</w:t>
            </w:r>
            <w:r w:rsidR="00305C25">
              <w:rPr>
                <w:rFonts w:ascii="Century Schoolbook" w:hAnsi="Century Schoolbook" w:cs="Times New Roman"/>
                <w:sz w:val="24"/>
                <w:szCs w:val="24"/>
              </w:rPr>
              <w:t xml:space="preserve"> </w:t>
            </w:r>
            <w:r w:rsidR="00092EAF" w:rsidRPr="00092EAF">
              <w:rPr>
                <w:rFonts w:ascii="Century Schoolbook" w:hAnsi="Century Schoolbook" w:cs="Times New Roman"/>
                <w:sz w:val="24"/>
                <w:szCs w:val="24"/>
              </w:rPr>
              <w:t xml:space="preserve">SECTIONS 53(3), 53(4), 55(1)(a) </w:t>
            </w:r>
            <w:r>
              <w:rPr>
                <w:rFonts w:ascii="Century Schoolbook" w:hAnsi="Century Schoolbook" w:cs="Times New Roman"/>
                <w:sz w:val="24"/>
                <w:szCs w:val="24"/>
              </w:rPr>
              <w:t>&amp;</w:t>
            </w:r>
            <w:r w:rsidR="00092EAF" w:rsidRPr="00092EAF">
              <w:rPr>
                <w:rFonts w:ascii="Century Schoolbook" w:hAnsi="Century Schoolbook" w:cs="Times New Roman"/>
                <w:sz w:val="24"/>
                <w:szCs w:val="24"/>
              </w:rPr>
              <w:t xml:space="preserve"> 55(2)(a)</w:t>
            </w:r>
            <w:r w:rsidR="00561ED3" w:rsidRPr="00092EAF">
              <w:rPr>
                <w:rFonts w:ascii="Century Schoolbook" w:hAnsi="Century Schoolbook" w:cs="Times New Roman"/>
                <w:sz w:val="24"/>
                <w:szCs w:val="24"/>
              </w:rPr>
              <w:t xml:space="preserve"> </w:t>
            </w:r>
            <w:r w:rsidR="00561ED3">
              <w:rPr>
                <w:rFonts w:ascii="Century Schoolbook" w:hAnsi="Century Schoolbook" w:cs="Times New Roman"/>
                <w:sz w:val="24"/>
                <w:szCs w:val="24"/>
              </w:rPr>
              <w:t xml:space="preserve">OF </w:t>
            </w:r>
            <w:r w:rsidR="00561ED3" w:rsidRPr="00092EAF">
              <w:rPr>
                <w:rFonts w:ascii="Century Schoolbook" w:hAnsi="Century Schoolbook" w:cs="Times New Roman"/>
                <w:sz w:val="24"/>
                <w:szCs w:val="24"/>
              </w:rPr>
              <w:t>THE PFMA</w:t>
            </w:r>
            <w:r w:rsidR="00561ED3">
              <w:rPr>
                <w:rFonts w:ascii="Century Schoolbook" w:hAnsi="Century Schoolbook" w:cs="Times New Roman"/>
                <w:sz w:val="24"/>
                <w:szCs w:val="24"/>
              </w:rPr>
              <w:t>,</w:t>
            </w:r>
            <w:r>
              <w:rPr>
                <w:rFonts w:ascii="Century Schoolbook" w:hAnsi="Century Schoolbook" w:cs="Times New Roman"/>
                <w:sz w:val="24"/>
                <w:szCs w:val="24"/>
              </w:rPr>
              <w:t xml:space="preserve"> READ WITH SECTION 86 ‘OFFENCES AND PENALTIES’; AND CRIMINAL CONTRAVENTION</w:t>
            </w:r>
            <w:r w:rsidR="00561ED3">
              <w:rPr>
                <w:rFonts w:ascii="Century Schoolbook" w:hAnsi="Century Schoolbook" w:cs="Times New Roman"/>
                <w:sz w:val="24"/>
                <w:szCs w:val="24"/>
              </w:rPr>
              <w:t>S</w:t>
            </w:r>
            <w:r>
              <w:rPr>
                <w:rFonts w:ascii="Century Schoolbook" w:hAnsi="Century Schoolbook" w:cs="Times New Roman"/>
                <w:sz w:val="24"/>
                <w:szCs w:val="24"/>
              </w:rPr>
              <w:t xml:space="preserve"> OF</w:t>
            </w:r>
            <w:r w:rsidRPr="00092EAF">
              <w:rPr>
                <w:rFonts w:ascii="Century Schoolbook" w:hAnsi="Century Schoolbook" w:cs="Times New Roman"/>
                <w:sz w:val="24"/>
                <w:szCs w:val="24"/>
              </w:rPr>
              <w:t xml:space="preserve"> SECTION 17(2) OF THE POWERS, PRIVILEGES AND IMMUNITIES OF PARLIAMENT AND PROVINCIAL LEGISLATURES ACT 4 OF 2004</w:t>
            </w:r>
            <w:r w:rsidR="00940367">
              <w:rPr>
                <w:rFonts w:ascii="Century Schoolbook" w:hAnsi="Century Schoolbook" w:cs="Times New Roman"/>
                <w:sz w:val="24"/>
                <w:szCs w:val="24"/>
              </w:rPr>
              <w:t xml:space="preserve"> IN FALSELY REPORTING TO </w:t>
            </w:r>
            <w:r w:rsidR="00AA3BC3">
              <w:rPr>
                <w:rFonts w:ascii="Century Schoolbook" w:hAnsi="Century Schoolbook" w:cs="Times New Roman"/>
                <w:sz w:val="24"/>
                <w:szCs w:val="24"/>
              </w:rPr>
              <w:t xml:space="preserve">MISLEAD </w:t>
            </w:r>
            <w:r w:rsidR="00940367">
              <w:rPr>
                <w:rFonts w:ascii="Century Schoolbook" w:hAnsi="Century Schoolbook" w:cs="Times New Roman"/>
                <w:sz w:val="24"/>
                <w:szCs w:val="24"/>
              </w:rPr>
              <w:t>THE JUSTICE PORTFOLIO COMMITTEE</w:t>
            </w:r>
          </w:p>
        </w:tc>
        <w:tc>
          <w:tcPr>
            <w:tcW w:w="1276" w:type="dxa"/>
          </w:tcPr>
          <w:p w:rsidR="00B04E5E" w:rsidRPr="0064430E" w:rsidRDefault="00F9372D"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highlight w:val="yellow"/>
              </w:rPr>
            </w:pPr>
            <w:r w:rsidRPr="0064430E">
              <w:rPr>
                <w:rFonts w:ascii="Century Schoolbook" w:hAnsi="Century Schoolbook" w:cs="Times New Roman"/>
                <w:sz w:val="24"/>
                <w:szCs w:val="24"/>
              </w:rPr>
              <w:t>7</w:t>
            </w:r>
            <w:r w:rsidR="00BD7AED">
              <w:rPr>
                <w:rFonts w:ascii="Century Schoolbook" w:hAnsi="Century Schoolbook" w:cs="Times New Roman"/>
                <w:sz w:val="24"/>
                <w:szCs w:val="24"/>
              </w:rPr>
              <w:t>5</w:t>
            </w:r>
            <w:r w:rsidRPr="0064430E">
              <w:rPr>
                <w:rFonts w:ascii="Century Schoolbook" w:hAnsi="Century Schoolbook" w:cs="Times New Roman"/>
                <w:sz w:val="24"/>
                <w:szCs w:val="24"/>
              </w:rPr>
              <w:t>–</w:t>
            </w:r>
            <w:r w:rsidR="00CE3E49" w:rsidRPr="0064430E">
              <w:rPr>
                <w:rFonts w:ascii="Century Schoolbook" w:hAnsi="Century Schoolbook" w:cs="Times New Roman"/>
                <w:sz w:val="24"/>
                <w:szCs w:val="24"/>
              </w:rPr>
              <w:t>10</w:t>
            </w:r>
            <w:r w:rsidR="00BD7AED">
              <w:rPr>
                <w:rFonts w:ascii="Century Schoolbook" w:hAnsi="Century Schoolbook" w:cs="Times New Roman"/>
                <w:sz w:val="24"/>
                <w:szCs w:val="24"/>
              </w:rPr>
              <w:t>6</w:t>
            </w:r>
          </w:p>
        </w:tc>
      </w:tr>
      <w:tr w:rsidR="00450B05" w:rsidRPr="006C6879" w:rsidTr="00B04E5E">
        <w:tc>
          <w:tcPr>
            <w:tcW w:w="7938" w:type="dxa"/>
          </w:tcPr>
          <w:p w:rsidR="00450B05" w:rsidRDefault="00450B05" w:rsidP="00ED3360">
            <w:pPr>
              <w:pStyle w:val="ListParagraph"/>
              <w:tabs>
                <w:tab w:val="left" w:pos="284"/>
              </w:tabs>
              <w:spacing w:before="200" w:line="360" w:lineRule="auto"/>
              <w:ind w:left="0"/>
              <w:contextualSpacing w:val="0"/>
              <w:rPr>
                <w:rFonts w:ascii="Century Schoolbook" w:hAnsi="Century Schoolbook" w:cs="Times New Roman"/>
                <w:sz w:val="24"/>
                <w:szCs w:val="24"/>
              </w:rPr>
            </w:pPr>
            <w:r>
              <w:rPr>
                <w:rFonts w:ascii="Century Schoolbook" w:hAnsi="Century Schoolbook" w:cs="Times New Roman"/>
                <w:sz w:val="24"/>
                <w:szCs w:val="24"/>
              </w:rPr>
              <w:t>CONCLUSION</w:t>
            </w:r>
          </w:p>
        </w:tc>
        <w:tc>
          <w:tcPr>
            <w:tcW w:w="1276" w:type="dxa"/>
          </w:tcPr>
          <w:p w:rsidR="00450B05" w:rsidRPr="0064430E" w:rsidRDefault="00CE3E49" w:rsidP="00BD7AED">
            <w:pPr>
              <w:pStyle w:val="ListParagraph"/>
              <w:tabs>
                <w:tab w:val="left" w:pos="284"/>
              </w:tabs>
              <w:spacing w:before="200" w:line="360" w:lineRule="auto"/>
              <w:ind w:left="0"/>
              <w:contextualSpacing w:val="0"/>
              <w:jc w:val="center"/>
              <w:rPr>
                <w:rFonts w:ascii="Century Schoolbook" w:hAnsi="Century Schoolbook" w:cs="Times New Roman"/>
                <w:sz w:val="24"/>
                <w:szCs w:val="24"/>
                <w:highlight w:val="yellow"/>
              </w:rPr>
            </w:pPr>
            <w:r w:rsidRPr="0064430E">
              <w:rPr>
                <w:rFonts w:ascii="Century Schoolbook" w:hAnsi="Century Schoolbook" w:cs="Times New Roman"/>
                <w:sz w:val="24"/>
                <w:szCs w:val="24"/>
              </w:rPr>
              <w:t>10</w:t>
            </w:r>
            <w:r w:rsidR="00BD7AED">
              <w:rPr>
                <w:rFonts w:ascii="Century Schoolbook" w:hAnsi="Century Schoolbook" w:cs="Times New Roman"/>
                <w:sz w:val="24"/>
                <w:szCs w:val="24"/>
              </w:rPr>
              <w:t>7</w:t>
            </w:r>
            <w:r w:rsidRPr="0064430E">
              <w:rPr>
                <w:rFonts w:ascii="Century Schoolbook" w:hAnsi="Century Schoolbook" w:cs="Times New Roman"/>
                <w:sz w:val="24"/>
                <w:szCs w:val="24"/>
              </w:rPr>
              <w:t>–</w:t>
            </w:r>
            <w:r w:rsidR="0064430E" w:rsidRPr="0064430E">
              <w:rPr>
                <w:rFonts w:ascii="Century Schoolbook" w:hAnsi="Century Schoolbook" w:cs="Times New Roman"/>
                <w:sz w:val="24"/>
                <w:szCs w:val="24"/>
              </w:rPr>
              <w:t>1</w:t>
            </w:r>
            <w:r w:rsidR="00BD7AED">
              <w:rPr>
                <w:rFonts w:ascii="Century Schoolbook" w:hAnsi="Century Schoolbook" w:cs="Times New Roman"/>
                <w:sz w:val="24"/>
                <w:szCs w:val="24"/>
              </w:rPr>
              <w:t>0</w:t>
            </w:r>
          </w:p>
        </w:tc>
      </w:tr>
    </w:tbl>
    <w:p w:rsidR="009503C9" w:rsidRDefault="009503C9" w:rsidP="006F6341">
      <w:pPr>
        <w:pStyle w:val="ListParagraph"/>
        <w:tabs>
          <w:tab w:val="left" w:pos="284"/>
        </w:tabs>
        <w:spacing w:line="360" w:lineRule="auto"/>
        <w:ind w:left="0"/>
        <w:contextualSpacing w:val="0"/>
        <w:rPr>
          <w:rFonts w:ascii="Century Schoolbook" w:hAnsi="Century Schoolbook" w:cs="Times New Roman"/>
          <w:b/>
          <w:sz w:val="24"/>
          <w:szCs w:val="24"/>
        </w:rPr>
      </w:pPr>
    </w:p>
    <w:tbl>
      <w:tblPr>
        <w:tblStyle w:val="TableGrid"/>
        <w:tblW w:w="9214" w:type="dxa"/>
        <w:tblInd w:w="108" w:type="dxa"/>
        <w:tblLook w:val="04A0"/>
      </w:tblPr>
      <w:tblGrid>
        <w:gridCol w:w="9214"/>
      </w:tblGrid>
      <w:tr w:rsidR="009503C9" w:rsidTr="002B72AD">
        <w:tc>
          <w:tcPr>
            <w:tcW w:w="9214" w:type="dxa"/>
            <w:tcBorders>
              <w:top w:val="single" w:sz="24" w:space="0" w:color="auto"/>
              <w:left w:val="single" w:sz="24" w:space="0" w:color="auto"/>
              <w:bottom w:val="single" w:sz="24" w:space="0" w:color="auto"/>
              <w:right w:val="single" w:sz="24" w:space="0" w:color="auto"/>
            </w:tcBorders>
          </w:tcPr>
          <w:p w:rsidR="002A0259" w:rsidRDefault="007B0EDC" w:rsidP="00A6725D">
            <w:pPr>
              <w:pStyle w:val="ListParagraph"/>
              <w:tabs>
                <w:tab w:val="left" w:pos="284"/>
              </w:tabs>
              <w:spacing w:before="200" w:after="200" w:line="360" w:lineRule="auto"/>
              <w:ind w:left="0"/>
              <w:contextualSpacing w:val="0"/>
              <w:rPr>
                <w:rFonts w:ascii="Century Schoolbook" w:hAnsi="Century Schoolbook" w:cs="Times New Roman"/>
                <w:b/>
                <w:sz w:val="24"/>
                <w:szCs w:val="24"/>
              </w:rPr>
            </w:pPr>
            <w:r>
              <w:rPr>
                <w:rFonts w:ascii="Century Schoolbook" w:hAnsi="Century Schoolbook" w:cs="Times New Roman"/>
                <w:b/>
                <w:sz w:val="24"/>
                <w:szCs w:val="24"/>
              </w:rPr>
              <w:t>T</w:t>
            </w:r>
            <w:r w:rsidR="004D256B">
              <w:rPr>
                <w:rFonts w:ascii="Century Schoolbook" w:hAnsi="Century Schoolbook" w:cs="Times New Roman"/>
                <w:b/>
                <w:sz w:val="24"/>
                <w:szCs w:val="24"/>
              </w:rPr>
              <w:t>he</w:t>
            </w:r>
            <w:r w:rsidR="004A6142">
              <w:rPr>
                <w:rFonts w:ascii="Century Schoolbook" w:hAnsi="Century Schoolbook" w:cs="Times New Roman"/>
                <w:b/>
                <w:sz w:val="24"/>
                <w:szCs w:val="24"/>
              </w:rPr>
              <w:t xml:space="preserve"> s</w:t>
            </w:r>
            <w:r w:rsidR="009503C9">
              <w:rPr>
                <w:rFonts w:ascii="Century Schoolbook" w:hAnsi="Century Schoolbook" w:cs="Times New Roman"/>
                <w:b/>
                <w:sz w:val="24"/>
                <w:szCs w:val="24"/>
              </w:rPr>
              <w:t>upporting documents referenced</w:t>
            </w:r>
            <w:r w:rsidR="00AA3FC1">
              <w:rPr>
                <w:rFonts w:ascii="Century Schoolbook" w:hAnsi="Century Schoolbook" w:cs="Times New Roman"/>
                <w:b/>
                <w:sz w:val="24"/>
                <w:szCs w:val="24"/>
              </w:rPr>
              <w:t xml:space="preserve"> </w:t>
            </w:r>
            <w:r w:rsidR="0019628D">
              <w:rPr>
                <w:rFonts w:ascii="Century Schoolbook" w:hAnsi="Century Schoolbook" w:cs="Times New Roman"/>
                <w:b/>
                <w:sz w:val="24"/>
                <w:szCs w:val="24"/>
              </w:rPr>
              <w:t xml:space="preserve">herein </w:t>
            </w:r>
            <w:r w:rsidR="009503C9">
              <w:rPr>
                <w:rFonts w:ascii="Century Schoolbook" w:hAnsi="Century Schoolbook" w:cs="Times New Roman"/>
                <w:b/>
                <w:sz w:val="24"/>
                <w:szCs w:val="24"/>
              </w:rPr>
              <w:t>are</w:t>
            </w:r>
            <w:r w:rsidR="004C65B1">
              <w:rPr>
                <w:rFonts w:ascii="Century Schoolbook" w:hAnsi="Century Schoolbook" w:cs="Times New Roman"/>
                <w:b/>
                <w:sz w:val="24"/>
                <w:szCs w:val="24"/>
              </w:rPr>
              <w:t xml:space="preserve"> </w:t>
            </w:r>
            <w:r w:rsidR="003240F0">
              <w:rPr>
                <w:rFonts w:ascii="Century Schoolbook" w:hAnsi="Century Schoolbook" w:cs="Times New Roman"/>
                <w:b/>
                <w:sz w:val="24"/>
                <w:szCs w:val="24"/>
              </w:rPr>
              <w:t>accessible</w:t>
            </w:r>
            <w:r w:rsidR="009503C9">
              <w:rPr>
                <w:rFonts w:ascii="Century Schoolbook" w:hAnsi="Century Schoolbook" w:cs="Times New Roman"/>
                <w:b/>
                <w:sz w:val="24"/>
                <w:szCs w:val="24"/>
              </w:rPr>
              <w:t xml:space="preserve"> </w:t>
            </w:r>
            <w:r w:rsidR="00E30C8C">
              <w:rPr>
                <w:rFonts w:ascii="Century Schoolbook" w:hAnsi="Century Schoolbook" w:cs="Times New Roman"/>
                <w:b/>
                <w:sz w:val="24"/>
                <w:szCs w:val="24"/>
              </w:rPr>
              <w:t>online</w:t>
            </w:r>
            <w:r w:rsidR="00A6725D">
              <w:rPr>
                <w:rFonts w:ascii="Century Schoolbook" w:hAnsi="Century Schoolbook" w:cs="Times New Roman"/>
                <w:b/>
                <w:sz w:val="24"/>
                <w:szCs w:val="24"/>
              </w:rPr>
              <w:t xml:space="preserve"> in PDF</w:t>
            </w:r>
            <w:r w:rsidR="00E30C8C">
              <w:rPr>
                <w:rFonts w:ascii="Century Schoolbook" w:hAnsi="Century Schoolbook" w:cs="Times New Roman"/>
                <w:b/>
                <w:sz w:val="24"/>
                <w:szCs w:val="24"/>
              </w:rPr>
              <w:t xml:space="preserve"> </w:t>
            </w:r>
            <w:r w:rsidR="009503C9">
              <w:rPr>
                <w:rFonts w:ascii="Century Schoolbook" w:hAnsi="Century Schoolbook" w:cs="Times New Roman"/>
                <w:b/>
                <w:sz w:val="24"/>
                <w:szCs w:val="24"/>
              </w:rPr>
              <w:t>at illegal</w:t>
            </w:r>
            <w:r w:rsidR="008839A2">
              <w:rPr>
                <w:rFonts w:ascii="Century Schoolbook" w:hAnsi="Century Schoolbook" w:cs="Times New Roman"/>
                <w:b/>
                <w:sz w:val="24"/>
                <w:szCs w:val="24"/>
              </w:rPr>
              <w:noBreakHyphen/>
            </w:r>
            <w:r w:rsidR="009503C9">
              <w:rPr>
                <w:rFonts w:ascii="Century Schoolbook" w:hAnsi="Century Schoolbook" w:cs="Times New Roman"/>
                <w:b/>
                <w:sz w:val="24"/>
                <w:szCs w:val="24"/>
              </w:rPr>
              <w:t>aid.co.za</w:t>
            </w:r>
            <w:r w:rsidR="0018624C">
              <w:rPr>
                <w:rFonts w:ascii="Century Schoolbook" w:hAnsi="Century Schoolbook" w:cs="Times New Roman"/>
                <w:b/>
                <w:sz w:val="24"/>
                <w:szCs w:val="24"/>
              </w:rPr>
              <w:t>/AG</w:t>
            </w:r>
            <w:r w:rsidR="002A0259">
              <w:rPr>
                <w:rFonts w:ascii="Century Schoolbook" w:hAnsi="Century Schoolbook" w:cs="Times New Roman"/>
                <w:b/>
                <w:sz w:val="24"/>
                <w:szCs w:val="24"/>
              </w:rPr>
              <w:t>. For easy copying, reprinting, transmission</w:t>
            </w:r>
            <w:r w:rsidR="00A6725D">
              <w:rPr>
                <w:rFonts w:ascii="Century Schoolbook" w:hAnsi="Century Schoolbook" w:cs="Times New Roman"/>
                <w:b/>
                <w:sz w:val="24"/>
                <w:szCs w:val="24"/>
              </w:rPr>
              <w:t xml:space="preserve"> by email</w:t>
            </w:r>
            <w:r w:rsidR="00AA3BC3">
              <w:rPr>
                <w:rFonts w:ascii="Century Schoolbook" w:hAnsi="Century Schoolbook" w:cs="Times New Roman"/>
                <w:b/>
                <w:sz w:val="24"/>
                <w:szCs w:val="24"/>
              </w:rPr>
              <w:t>,</w:t>
            </w:r>
            <w:r w:rsidR="002A0259">
              <w:rPr>
                <w:rFonts w:ascii="Century Schoolbook" w:hAnsi="Century Schoolbook" w:cs="Times New Roman"/>
                <w:b/>
                <w:sz w:val="24"/>
                <w:szCs w:val="24"/>
              </w:rPr>
              <w:t xml:space="preserve"> and reading on a portable device, copies of this</w:t>
            </w:r>
            <w:r w:rsidR="00E30C8C">
              <w:rPr>
                <w:rFonts w:ascii="Century Schoolbook" w:hAnsi="Century Schoolbook" w:cs="Times New Roman"/>
                <w:b/>
                <w:sz w:val="24"/>
                <w:szCs w:val="24"/>
              </w:rPr>
              <w:t xml:space="preserve"> complaint are available in PDF, </w:t>
            </w:r>
            <w:r w:rsidR="002A0259">
              <w:rPr>
                <w:rFonts w:ascii="Century Schoolbook" w:hAnsi="Century Schoolbook" w:cs="Times New Roman"/>
                <w:b/>
                <w:sz w:val="24"/>
                <w:szCs w:val="24"/>
              </w:rPr>
              <w:t>MS Word</w:t>
            </w:r>
            <w:r w:rsidR="00E30C8C">
              <w:rPr>
                <w:rFonts w:ascii="Century Schoolbook" w:hAnsi="Century Schoolbook" w:cs="Times New Roman"/>
                <w:b/>
                <w:sz w:val="24"/>
                <w:szCs w:val="24"/>
              </w:rPr>
              <w:t>, and HTML</w:t>
            </w:r>
            <w:r w:rsidR="002A0259">
              <w:rPr>
                <w:rFonts w:ascii="Century Schoolbook" w:hAnsi="Century Schoolbook" w:cs="Times New Roman"/>
                <w:b/>
                <w:sz w:val="24"/>
                <w:szCs w:val="24"/>
              </w:rPr>
              <w:t xml:space="preserve"> at the same site.</w:t>
            </w:r>
          </w:p>
        </w:tc>
      </w:tr>
    </w:tbl>
    <w:p w:rsidR="009503C9" w:rsidRDefault="009503C9" w:rsidP="006F6341">
      <w:pPr>
        <w:pStyle w:val="ListParagraph"/>
        <w:tabs>
          <w:tab w:val="left" w:pos="284"/>
        </w:tabs>
        <w:spacing w:line="360" w:lineRule="auto"/>
        <w:ind w:left="0"/>
        <w:contextualSpacing w:val="0"/>
        <w:rPr>
          <w:rFonts w:ascii="Century Schoolbook" w:hAnsi="Century Schoolbook" w:cs="Times New Roman"/>
          <w:b/>
          <w:sz w:val="24"/>
          <w:szCs w:val="24"/>
        </w:rPr>
      </w:pPr>
    </w:p>
    <w:p w:rsidR="006F6341" w:rsidRPr="006C6879" w:rsidRDefault="006F6341" w:rsidP="006F6341">
      <w:pPr>
        <w:pStyle w:val="ListParagraph"/>
        <w:tabs>
          <w:tab w:val="left" w:pos="284"/>
        </w:tabs>
        <w:spacing w:line="360" w:lineRule="auto"/>
        <w:ind w:left="0"/>
        <w:contextualSpacing w:val="0"/>
        <w:rPr>
          <w:rFonts w:ascii="Century Schoolbook" w:hAnsi="Century Schoolbook" w:cs="Times New Roman"/>
          <w:b/>
          <w:sz w:val="24"/>
          <w:szCs w:val="24"/>
        </w:rPr>
      </w:pPr>
      <w:r w:rsidRPr="006C6879">
        <w:rPr>
          <w:rFonts w:ascii="Century Schoolbook" w:hAnsi="Century Schoolbook" w:cs="Times New Roman"/>
          <w:b/>
          <w:sz w:val="24"/>
          <w:szCs w:val="24"/>
        </w:rPr>
        <w:t xml:space="preserve">INTRODUCTION </w:t>
      </w:r>
    </w:p>
    <w:p w:rsidR="007C78BC" w:rsidRPr="006C6879" w:rsidRDefault="009F218E" w:rsidP="00623D0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The ‘</w:t>
      </w:r>
      <w:r w:rsidR="006F28C1" w:rsidRPr="006C6879">
        <w:rPr>
          <w:rFonts w:ascii="Century Schoolbook" w:hAnsi="Century Schoolbook" w:cs="Times New Roman"/>
          <w:sz w:val="24"/>
          <w:szCs w:val="24"/>
        </w:rPr>
        <w:t xml:space="preserve">biggest law firm on the African continent’, </w:t>
      </w:r>
      <w:r w:rsidR="00623D09" w:rsidRPr="006C6879">
        <w:rPr>
          <w:rFonts w:ascii="Century Schoolbook" w:hAnsi="Century Schoolbook" w:cs="Times New Roman"/>
          <w:sz w:val="24"/>
          <w:szCs w:val="24"/>
        </w:rPr>
        <w:t>as its internet website bills it</w:t>
      </w:r>
      <w:r w:rsidR="00D63F07" w:rsidRPr="006C6879">
        <w:rPr>
          <w:rFonts w:ascii="Century Schoolbook" w:hAnsi="Century Schoolbook" w:cs="Times New Roman"/>
          <w:sz w:val="24"/>
          <w:szCs w:val="24"/>
        </w:rPr>
        <w:t>,</w:t>
      </w:r>
      <w:r w:rsidR="00853873" w:rsidRPr="006C6879">
        <w:rPr>
          <w:rFonts w:ascii="Century Schoolbook" w:hAnsi="Century Schoolbook" w:cs="Times New Roman"/>
          <w:sz w:val="24"/>
          <w:szCs w:val="24"/>
        </w:rPr>
        <w:t xml:space="preserve"> </w:t>
      </w:r>
      <w:r>
        <w:rPr>
          <w:rFonts w:ascii="Century Schoolbook" w:hAnsi="Century Schoolbook" w:cs="Times New Roman"/>
          <w:sz w:val="24"/>
          <w:szCs w:val="24"/>
        </w:rPr>
        <w:t>LASA</w:t>
      </w:r>
      <w:r w:rsidR="009B5E9E" w:rsidRPr="006C6879">
        <w:rPr>
          <w:rFonts w:ascii="Century Schoolbook" w:hAnsi="Century Schoolbook" w:cs="Times New Roman"/>
          <w:sz w:val="24"/>
          <w:szCs w:val="24"/>
        </w:rPr>
        <w:t xml:space="preserve"> enjoy</w:t>
      </w:r>
      <w:r w:rsidR="00F771A1" w:rsidRPr="006C6879">
        <w:rPr>
          <w:rFonts w:ascii="Century Schoolbook" w:hAnsi="Century Schoolbook" w:cs="Times New Roman"/>
          <w:sz w:val="24"/>
          <w:szCs w:val="24"/>
        </w:rPr>
        <w:t>s</w:t>
      </w:r>
      <w:r w:rsidR="009B5E9E" w:rsidRPr="006C6879">
        <w:rPr>
          <w:rFonts w:ascii="Century Schoolbook" w:hAnsi="Century Schoolbook" w:cs="Times New Roman"/>
          <w:sz w:val="24"/>
          <w:szCs w:val="24"/>
        </w:rPr>
        <w:t xml:space="preserve"> </w:t>
      </w:r>
      <w:r w:rsidR="00C23559" w:rsidRPr="006C6879">
        <w:rPr>
          <w:rFonts w:ascii="Century Schoolbook" w:hAnsi="Century Schoolbook" w:cs="Times New Roman"/>
          <w:sz w:val="24"/>
          <w:szCs w:val="24"/>
        </w:rPr>
        <w:t xml:space="preserve">a sterling reputation as a model of </w:t>
      </w:r>
      <w:r w:rsidR="00F771A1" w:rsidRPr="006C6879">
        <w:rPr>
          <w:rFonts w:ascii="Century Schoolbook" w:hAnsi="Century Schoolbook" w:cs="Times New Roman"/>
          <w:sz w:val="24"/>
          <w:szCs w:val="24"/>
        </w:rPr>
        <w:t xml:space="preserve">good practice and </w:t>
      </w:r>
      <w:r w:rsidR="006F28C1" w:rsidRPr="006C6879">
        <w:rPr>
          <w:rFonts w:ascii="Century Schoolbook" w:hAnsi="Century Schoolbook" w:cs="Times New Roman"/>
          <w:sz w:val="24"/>
          <w:szCs w:val="24"/>
        </w:rPr>
        <w:t>probity in corporate governance</w:t>
      </w:r>
      <w:r w:rsidR="00BF3C1C" w:rsidRPr="006C6879">
        <w:rPr>
          <w:rFonts w:ascii="Century Schoolbook" w:hAnsi="Century Schoolbook" w:cs="Times New Roman"/>
          <w:sz w:val="24"/>
          <w:szCs w:val="24"/>
        </w:rPr>
        <w:t>,</w:t>
      </w:r>
      <w:r w:rsidR="006F28C1" w:rsidRPr="006C6879">
        <w:rPr>
          <w:rFonts w:ascii="Century Schoolbook" w:hAnsi="Century Schoolbook" w:cs="Times New Roman"/>
          <w:sz w:val="24"/>
          <w:szCs w:val="24"/>
        </w:rPr>
        <w:t xml:space="preserve"> management and financial administration</w:t>
      </w:r>
      <w:r w:rsidR="00B94707">
        <w:rPr>
          <w:rFonts w:ascii="Century Schoolbook" w:hAnsi="Century Schoolbook" w:cs="Times New Roman"/>
          <w:sz w:val="24"/>
          <w:szCs w:val="24"/>
        </w:rPr>
        <w:t xml:space="preserve"> in South Africa</w:t>
      </w:r>
      <w:r w:rsidR="006A38C5" w:rsidRPr="006C6879">
        <w:rPr>
          <w:rFonts w:ascii="Century Schoolbook" w:hAnsi="Century Schoolbook" w:cs="Times New Roman"/>
          <w:sz w:val="24"/>
          <w:szCs w:val="24"/>
        </w:rPr>
        <w:t xml:space="preserve">, </w:t>
      </w:r>
      <w:r w:rsidR="00AD2463">
        <w:rPr>
          <w:rFonts w:ascii="Century Schoolbook" w:hAnsi="Century Schoolbook" w:cs="Times New Roman"/>
          <w:sz w:val="24"/>
          <w:szCs w:val="24"/>
        </w:rPr>
        <w:t xml:space="preserve">and </w:t>
      </w:r>
      <w:r w:rsidR="00940367">
        <w:rPr>
          <w:rFonts w:ascii="Century Schoolbook" w:hAnsi="Century Schoolbook" w:cs="Times New Roman"/>
          <w:sz w:val="24"/>
          <w:szCs w:val="24"/>
        </w:rPr>
        <w:t xml:space="preserve">it </w:t>
      </w:r>
      <w:r w:rsidR="00AD2463">
        <w:rPr>
          <w:rFonts w:ascii="Century Schoolbook" w:hAnsi="Century Schoolbook" w:cs="Times New Roman"/>
          <w:sz w:val="24"/>
          <w:szCs w:val="24"/>
        </w:rPr>
        <w:t xml:space="preserve">is </w:t>
      </w:r>
      <w:r w:rsidR="007706D7">
        <w:rPr>
          <w:rFonts w:ascii="Century Schoolbook" w:hAnsi="Century Schoolbook" w:cs="Times New Roman"/>
          <w:sz w:val="24"/>
          <w:szCs w:val="24"/>
        </w:rPr>
        <w:t xml:space="preserve">officially </w:t>
      </w:r>
      <w:r w:rsidR="00C35CAB">
        <w:rPr>
          <w:rFonts w:ascii="Century Schoolbook" w:hAnsi="Century Schoolbook" w:cs="Times New Roman"/>
          <w:sz w:val="24"/>
          <w:szCs w:val="24"/>
        </w:rPr>
        <w:t>laud</w:t>
      </w:r>
      <w:r w:rsidR="00D04898">
        <w:rPr>
          <w:rFonts w:ascii="Century Schoolbook" w:hAnsi="Century Schoolbook" w:cs="Times New Roman"/>
          <w:sz w:val="24"/>
          <w:szCs w:val="24"/>
        </w:rPr>
        <w:t>ed as</w:t>
      </w:r>
      <w:r w:rsidR="006A38C5" w:rsidRPr="006C6879">
        <w:rPr>
          <w:rFonts w:ascii="Century Schoolbook" w:hAnsi="Century Schoolbook" w:cs="Times New Roman"/>
          <w:sz w:val="24"/>
          <w:szCs w:val="24"/>
        </w:rPr>
        <w:t xml:space="preserve"> the standard</w:t>
      </w:r>
      <w:r w:rsidR="006F28C1" w:rsidRPr="006C6879">
        <w:rPr>
          <w:rFonts w:ascii="Century Schoolbook" w:hAnsi="Century Schoolbook" w:cs="Times New Roman"/>
          <w:sz w:val="24"/>
          <w:szCs w:val="24"/>
        </w:rPr>
        <w:t xml:space="preserve"> </w:t>
      </w:r>
      <w:r w:rsidR="00933783" w:rsidRPr="006C6879">
        <w:rPr>
          <w:rFonts w:ascii="Century Schoolbook" w:hAnsi="Century Schoolbook" w:cs="Times New Roman"/>
          <w:sz w:val="24"/>
          <w:szCs w:val="24"/>
        </w:rPr>
        <w:t xml:space="preserve">for </w:t>
      </w:r>
      <w:r w:rsidR="008625AC" w:rsidRPr="006C6879">
        <w:rPr>
          <w:rFonts w:ascii="Century Schoolbook" w:hAnsi="Century Schoolbook" w:cs="Times New Roman"/>
          <w:sz w:val="24"/>
          <w:szCs w:val="24"/>
        </w:rPr>
        <w:t>emulat</w:t>
      </w:r>
      <w:r w:rsidR="008625AC">
        <w:rPr>
          <w:rFonts w:ascii="Century Schoolbook" w:hAnsi="Century Schoolbook" w:cs="Times New Roman"/>
          <w:sz w:val="24"/>
          <w:szCs w:val="24"/>
        </w:rPr>
        <w:t xml:space="preserve">ion by </w:t>
      </w:r>
      <w:r w:rsidR="00065C58" w:rsidRPr="006C6879">
        <w:rPr>
          <w:rFonts w:ascii="Century Schoolbook" w:hAnsi="Century Schoolbook" w:cs="Times New Roman"/>
          <w:sz w:val="24"/>
          <w:szCs w:val="24"/>
        </w:rPr>
        <w:t>other public entities</w:t>
      </w:r>
      <w:r w:rsidR="00C23559" w:rsidRPr="006C6879">
        <w:rPr>
          <w:rFonts w:ascii="Century Schoolbook" w:hAnsi="Century Schoolbook" w:cs="Times New Roman"/>
          <w:sz w:val="24"/>
          <w:szCs w:val="24"/>
        </w:rPr>
        <w:t xml:space="preserve">. Then Deputy Minister of Justice and Constitutional Development Andries </w:t>
      </w:r>
      <w:r w:rsidR="006F28C1" w:rsidRPr="006C6879">
        <w:rPr>
          <w:rFonts w:ascii="Century Schoolbook" w:hAnsi="Century Schoolbook" w:cs="Times New Roman"/>
          <w:sz w:val="24"/>
          <w:szCs w:val="24"/>
        </w:rPr>
        <w:t xml:space="preserve">Nel </w:t>
      </w:r>
      <w:r w:rsidR="006E35B5">
        <w:rPr>
          <w:rFonts w:ascii="Century Schoolbook" w:hAnsi="Century Schoolbook" w:cs="Times New Roman"/>
          <w:sz w:val="24"/>
          <w:szCs w:val="24"/>
        </w:rPr>
        <w:t>enthus</w:t>
      </w:r>
      <w:r w:rsidR="007706D7">
        <w:rPr>
          <w:rFonts w:ascii="Century Schoolbook" w:hAnsi="Century Schoolbook" w:cs="Times New Roman"/>
          <w:sz w:val="24"/>
          <w:szCs w:val="24"/>
        </w:rPr>
        <w:t>ed</w:t>
      </w:r>
      <w:r w:rsidR="00853873" w:rsidRPr="006C6879">
        <w:rPr>
          <w:rFonts w:ascii="Century Schoolbook" w:hAnsi="Century Schoolbook" w:cs="Times New Roman"/>
          <w:sz w:val="24"/>
          <w:szCs w:val="24"/>
        </w:rPr>
        <w:t xml:space="preserve"> in 2011</w:t>
      </w:r>
      <w:r w:rsidR="00BF3C1C" w:rsidRPr="006C6879">
        <w:rPr>
          <w:rFonts w:ascii="Century Schoolbook" w:hAnsi="Century Schoolbook" w:cs="Times New Roman"/>
          <w:sz w:val="24"/>
          <w:szCs w:val="24"/>
        </w:rPr>
        <w:t>:</w:t>
      </w:r>
      <w:r w:rsidR="006F28C1" w:rsidRPr="006C6879">
        <w:rPr>
          <w:rFonts w:ascii="Century Schoolbook" w:hAnsi="Century Schoolbook" w:cs="Times New Roman"/>
          <w:sz w:val="24"/>
          <w:szCs w:val="24"/>
        </w:rPr>
        <w:t xml:space="preserve"> ‘The world would be a better place if it were run by Legal Aid’</w:t>
      </w:r>
      <w:r w:rsidR="00C23559" w:rsidRPr="006C6879">
        <w:rPr>
          <w:rStyle w:val="FootnoteReference"/>
          <w:rFonts w:ascii="Century Schoolbook" w:hAnsi="Century Schoolbook" w:cs="Times New Roman"/>
          <w:sz w:val="24"/>
          <w:szCs w:val="24"/>
        </w:rPr>
        <w:footnoteReference w:id="2"/>
      </w:r>
      <w:r w:rsidR="002E2042" w:rsidRPr="006C6879">
        <w:rPr>
          <w:rFonts w:ascii="Century Schoolbook" w:hAnsi="Century Schoolbook" w:cs="Times New Roman"/>
          <w:sz w:val="24"/>
          <w:szCs w:val="24"/>
        </w:rPr>
        <w:t xml:space="preserve"> and</w:t>
      </w:r>
      <w:r w:rsidR="00C23559" w:rsidRPr="006C6879">
        <w:rPr>
          <w:rFonts w:ascii="Century Schoolbook" w:hAnsi="Century Schoolbook" w:cs="Times New Roman"/>
          <w:sz w:val="24"/>
          <w:szCs w:val="24"/>
        </w:rPr>
        <w:t xml:space="preserve"> Ministe</w:t>
      </w:r>
      <w:r w:rsidR="00623D09" w:rsidRPr="006C6879">
        <w:rPr>
          <w:rFonts w:ascii="Century Schoolbook" w:hAnsi="Century Schoolbook" w:cs="Times New Roman"/>
          <w:sz w:val="24"/>
          <w:szCs w:val="24"/>
        </w:rPr>
        <w:t>r of Justice and Correctional Services</w:t>
      </w:r>
      <w:r w:rsidR="00C23559" w:rsidRPr="006C6879">
        <w:rPr>
          <w:rFonts w:ascii="Century Schoolbook" w:hAnsi="Century Schoolbook" w:cs="Times New Roman"/>
          <w:sz w:val="24"/>
          <w:szCs w:val="24"/>
        </w:rPr>
        <w:t xml:space="preserve"> Ronald Lamola </w:t>
      </w:r>
      <w:r w:rsidR="00065C58">
        <w:rPr>
          <w:rFonts w:ascii="Century Schoolbook" w:hAnsi="Century Schoolbook" w:cs="Times New Roman"/>
          <w:sz w:val="24"/>
          <w:szCs w:val="24"/>
        </w:rPr>
        <w:lastRenderedPageBreak/>
        <w:t xml:space="preserve">recently </w:t>
      </w:r>
      <w:r w:rsidR="006947B7" w:rsidRPr="006C6879">
        <w:rPr>
          <w:rFonts w:ascii="Century Schoolbook" w:hAnsi="Century Schoolbook" w:cs="Times New Roman"/>
          <w:sz w:val="24"/>
          <w:szCs w:val="24"/>
        </w:rPr>
        <w:t>crooned</w:t>
      </w:r>
      <w:r w:rsidR="00853873" w:rsidRPr="006C6879">
        <w:rPr>
          <w:rFonts w:ascii="Century Schoolbook" w:hAnsi="Century Schoolbook" w:cs="Times New Roman"/>
          <w:sz w:val="24"/>
          <w:szCs w:val="24"/>
        </w:rPr>
        <w:t xml:space="preserve"> </w:t>
      </w:r>
      <w:r w:rsidR="006A38C5" w:rsidRPr="006C6879">
        <w:rPr>
          <w:rFonts w:ascii="Century Schoolbook" w:hAnsi="Century Schoolbook" w:cs="Times New Roman"/>
          <w:sz w:val="24"/>
          <w:szCs w:val="24"/>
        </w:rPr>
        <w:t>in tune</w:t>
      </w:r>
      <w:r w:rsidR="00614D61" w:rsidRPr="006C6879">
        <w:rPr>
          <w:rFonts w:ascii="Century Schoolbook" w:hAnsi="Century Schoolbook" w:cs="Times New Roman"/>
          <w:sz w:val="24"/>
          <w:szCs w:val="24"/>
        </w:rPr>
        <w:t>:</w:t>
      </w:r>
      <w:r w:rsidR="006F28C1" w:rsidRPr="006C6879">
        <w:rPr>
          <w:rFonts w:ascii="Century Schoolbook" w:hAnsi="Century Schoolbook" w:cs="Times New Roman"/>
          <w:sz w:val="24"/>
          <w:szCs w:val="24"/>
        </w:rPr>
        <w:t xml:space="preserve"> ‘This is one of the best-run entities of government. We have had clean audits for the past 18 years. There is a well</w:t>
      </w:r>
      <w:r w:rsidR="002909C0">
        <w:rPr>
          <w:rFonts w:ascii="Century Schoolbook" w:hAnsi="Century Schoolbook" w:cs="Times New Roman"/>
          <w:sz w:val="24"/>
          <w:szCs w:val="24"/>
        </w:rPr>
        <w:t>-</w:t>
      </w:r>
      <w:r w:rsidR="006F28C1" w:rsidRPr="006C6879">
        <w:rPr>
          <w:rFonts w:ascii="Century Schoolbook" w:hAnsi="Century Schoolbook" w:cs="Times New Roman"/>
          <w:sz w:val="24"/>
          <w:szCs w:val="24"/>
        </w:rPr>
        <w:t xml:space="preserve">established culture </w:t>
      </w:r>
      <w:r w:rsidR="004712D0" w:rsidRPr="006C6879">
        <w:rPr>
          <w:rFonts w:ascii="Century Schoolbook" w:hAnsi="Century Schoolbook" w:cs="Times New Roman"/>
          <w:sz w:val="24"/>
          <w:szCs w:val="24"/>
        </w:rPr>
        <w:t xml:space="preserve">[of proper corporate </w:t>
      </w:r>
      <w:r w:rsidR="006A38C5" w:rsidRPr="006C6879">
        <w:rPr>
          <w:rFonts w:ascii="Century Schoolbook" w:hAnsi="Century Schoolbook" w:cs="Times New Roman"/>
          <w:sz w:val="24"/>
          <w:szCs w:val="24"/>
        </w:rPr>
        <w:t>governance</w:t>
      </w:r>
      <w:r w:rsidR="006947B7" w:rsidRPr="006C6879">
        <w:rPr>
          <w:rFonts w:ascii="Century Schoolbook" w:hAnsi="Century Schoolbook" w:cs="Times New Roman"/>
          <w:sz w:val="24"/>
          <w:szCs w:val="24"/>
        </w:rPr>
        <w:t xml:space="preserve"> at LASA</w:t>
      </w:r>
      <w:r w:rsidR="004712D0" w:rsidRPr="006C6879">
        <w:rPr>
          <w:rFonts w:ascii="Century Schoolbook" w:hAnsi="Century Schoolbook" w:cs="Times New Roman"/>
          <w:sz w:val="24"/>
          <w:szCs w:val="24"/>
        </w:rPr>
        <w:t>]</w:t>
      </w:r>
      <w:r w:rsidR="006F28C1" w:rsidRPr="006C6879">
        <w:rPr>
          <w:rFonts w:ascii="Century Schoolbook" w:hAnsi="Century Schoolbook" w:cs="Times New Roman"/>
          <w:sz w:val="24"/>
          <w:szCs w:val="24"/>
        </w:rPr>
        <w:t>. … So it is an institution of best practice, not only in SA but in the whole world</w:t>
      </w:r>
      <w:r w:rsidR="00B878D5" w:rsidRPr="006C6879">
        <w:rPr>
          <w:rFonts w:ascii="Century Schoolbook" w:hAnsi="Century Schoolbook" w:cs="Times New Roman"/>
          <w:sz w:val="24"/>
          <w:szCs w:val="24"/>
        </w:rPr>
        <w:t>’.</w:t>
      </w:r>
      <w:r w:rsidR="009B5E9E" w:rsidRPr="006C6879">
        <w:rPr>
          <w:rStyle w:val="FootnoteReference"/>
          <w:rFonts w:ascii="Century Schoolbook" w:hAnsi="Century Schoolbook" w:cs="Times New Roman"/>
          <w:sz w:val="24"/>
          <w:szCs w:val="24"/>
        </w:rPr>
        <w:footnoteReference w:id="3"/>
      </w:r>
      <w:r w:rsidR="006F6341" w:rsidRPr="006C6879">
        <w:rPr>
          <w:rFonts w:ascii="Century Schoolbook" w:hAnsi="Century Schoolbook" w:cs="Times New Roman"/>
          <w:sz w:val="24"/>
          <w:szCs w:val="24"/>
        </w:rPr>
        <w:t xml:space="preserve"> </w:t>
      </w:r>
    </w:p>
    <w:p w:rsidR="009B5478" w:rsidRDefault="00853873" w:rsidP="00BE754D">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T</w:t>
      </w:r>
      <w:r w:rsidR="004712D0" w:rsidRPr="006C6879">
        <w:rPr>
          <w:rFonts w:ascii="Century Schoolbook" w:hAnsi="Century Schoolbook" w:cs="Times New Roman"/>
          <w:sz w:val="24"/>
          <w:szCs w:val="24"/>
        </w:rPr>
        <w:t>he Auditor</w:t>
      </w:r>
      <w:r w:rsidR="00DD7911" w:rsidRPr="006C6879">
        <w:rPr>
          <w:rFonts w:ascii="Century Schoolbook" w:hAnsi="Century Schoolbook" w:cs="Times New Roman"/>
          <w:sz w:val="24"/>
          <w:szCs w:val="24"/>
        </w:rPr>
        <w:t>-</w:t>
      </w:r>
      <w:r w:rsidR="004712D0" w:rsidRPr="006C6879">
        <w:rPr>
          <w:rFonts w:ascii="Century Schoolbook" w:hAnsi="Century Schoolbook" w:cs="Times New Roman"/>
          <w:sz w:val="24"/>
          <w:szCs w:val="24"/>
        </w:rPr>
        <w:t>General’s</w:t>
      </w:r>
      <w:r w:rsidR="006F28C1" w:rsidRPr="006C6879">
        <w:rPr>
          <w:rFonts w:ascii="Century Schoolbook" w:hAnsi="Century Schoolbook" w:cs="Times New Roman"/>
          <w:sz w:val="24"/>
          <w:szCs w:val="24"/>
        </w:rPr>
        <w:t xml:space="preserve"> </w:t>
      </w:r>
      <w:r w:rsidR="00BF3C1C" w:rsidRPr="006C6879">
        <w:rPr>
          <w:rFonts w:ascii="Century Schoolbook" w:hAnsi="Century Schoolbook" w:cs="Times New Roman"/>
          <w:sz w:val="24"/>
          <w:szCs w:val="24"/>
        </w:rPr>
        <w:t>‘clean audits for the past 18 years’</w:t>
      </w:r>
      <w:r w:rsidR="00BD6B1D" w:rsidRPr="006C6879">
        <w:rPr>
          <w:rFonts w:ascii="Century Schoolbook" w:hAnsi="Century Schoolbook" w:cs="Times New Roman"/>
          <w:sz w:val="24"/>
          <w:szCs w:val="24"/>
        </w:rPr>
        <w:t xml:space="preserve"> ha</w:t>
      </w:r>
      <w:r w:rsidR="002909C0">
        <w:rPr>
          <w:rFonts w:ascii="Century Schoolbook" w:hAnsi="Century Schoolbook" w:cs="Times New Roman"/>
          <w:sz w:val="24"/>
          <w:szCs w:val="24"/>
        </w:rPr>
        <w:t>ve</w:t>
      </w:r>
      <w:r w:rsidR="00B94707" w:rsidRPr="00B94707">
        <w:rPr>
          <w:rFonts w:ascii="Century Schoolbook" w:hAnsi="Century Schoolbook" w:cs="Times New Roman"/>
          <w:sz w:val="24"/>
          <w:szCs w:val="24"/>
        </w:rPr>
        <w:t xml:space="preserve"> </w:t>
      </w:r>
      <w:r w:rsidR="00B94707" w:rsidRPr="006C6879">
        <w:rPr>
          <w:rFonts w:ascii="Century Schoolbook" w:hAnsi="Century Schoolbook" w:cs="Times New Roman"/>
          <w:sz w:val="24"/>
          <w:szCs w:val="24"/>
        </w:rPr>
        <w:t>generate</w:t>
      </w:r>
      <w:r w:rsidR="00B94707">
        <w:rPr>
          <w:rFonts w:ascii="Century Schoolbook" w:hAnsi="Century Schoolbook" w:cs="Times New Roman"/>
          <w:sz w:val="24"/>
          <w:szCs w:val="24"/>
        </w:rPr>
        <w:t>d</w:t>
      </w:r>
      <w:r w:rsidR="00B94707" w:rsidRPr="006C6879">
        <w:rPr>
          <w:rFonts w:ascii="Century Schoolbook" w:hAnsi="Century Schoolbook" w:cs="Times New Roman"/>
          <w:sz w:val="24"/>
          <w:szCs w:val="24"/>
        </w:rPr>
        <w:t xml:space="preserve"> the universal impression that </w:t>
      </w:r>
      <w:r w:rsidR="00B94707">
        <w:rPr>
          <w:rFonts w:ascii="Century Schoolbook" w:hAnsi="Century Schoolbook" w:cs="Times New Roman"/>
          <w:sz w:val="24"/>
          <w:szCs w:val="24"/>
        </w:rPr>
        <w:t>LASA is</w:t>
      </w:r>
      <w:r w:rsidR="00B94707" w:rsidRPr="006C6879">
        <w:rPr>
          <w:rFonts w:ascii="Century Schoolbook" w:hAnsi="Century Schoolbook" w:cs="Times New Roman"/>
          <w:sz w:val="24"/>
          <w:szCs w:val="24"/>
        </w:rPr>
        <w:t xml:space="preserve"> ‘squeaky clean’</w:t>
      </w:r>
      <w:r w:rsidR="00B94707" w:rsidRPr="006C6879">
        <w:rPr>
          <w:rStyle w:val="FootnoteReference"/>
          <w:rFonts w:ascii="Century Schoolbook" w:hAnsi="Century Schoolbook" w:cs="Times New Roman"/>
          <w:sz w:val="24"/>
          <w:szCs w:val="24"/>
        </w:rPr>
        <w:footnoteReference w:id="4"/>
      </w:r>
      <w:r w:rsidR="00B94707">
        <w:rPr>
          <w:rFonts w:ascii="Century Schoolbook" w:hAnsi="Century Schoolbook" w:cs="Times New Roman"/>
          <w:sz w:val="24"/>
          <w:szCs w:val="24"/>
        </w:rPr>
        <w:t xml:space="preserve"> and have</w:t>
      </w:r>
      <w:r w:rsidR="002909C0">
        <w:rPr>
          <w:rFonts w:ascii="Century Schoolbook" w:hAnsi="Century Schoolbook" w:cs="Times New Roman"/>
          <w:sz w:val="24"/>
          <w:szCs w:val="24"/>
        </w:rPr>
        <w:t xml:space="preserve"> served to</w:t>
      </w:r>
      <w:r w:rsidR="00BD6B1D" w:rsidRPr="006C6879">
        <w:rPr>
          <w:rFonts w:ascii="Century Schoolbook" w:hAnsi="Century Schoolbook" w:cs="Times New Roman"/>
          <w:sz w:val="24"/>
          <w:szCs w:val="24"/>
        </w:rPr>
        <w:t xml:space="preserve"> </w:t>
      </w:r>
      <w:r w:rsidR="00A63997" w:rsidRPr="006C6879">
        <w:rPr>
          <w:rFonts w:ascii="Century Schoolbook" w:hAnsi="Century Schoolbook" w:cs="Times New Roman"/>
          <w:sz w:val="24"/>
          <w:szCs w:val="24"/>
        </w:rPr>
        <w:t>‘</w:t>
      </w:r>
      <w:r w:rsidR="00BD6B1D" w:rsidRPr="006C6879">
        <w:rPr>
          <w:rFonts w:ascii="Century Schoolbook" w:hAnsi="Century Schoolbook" w:cs="Times New Roman"/>
          <w:sz w:val="24"/>
          <w:szCs w:val="24"/>
        </w:rPr>
        <w:t>beatify’</w:t>
      </w:r>
      <w:r w:rsidR="009D4C3F">
        <w:rPr>
          <w:rFonts w:ascii="Century Schoolbook" w:hAnsi="Century Schoolbook" w:cs="Times New Roman"/>
          <w:sz w:val="24"/>
          <w:szCs w:val="24"/>
        </w:rPr>
        <w:t xml:space="preserve"> </w:t>
      </w:r>
      <w:r w:rsidR="00B94707">
        <w:rPr>
          <w:rFonts w:ascii="Century Schoolbook" w:hAnsi="Century Schoolbook" w:cs="Times New Roman"/>
          <w:sz w:val="24"/>
          <w:szCs w:val="24"/>
        </w:rPr>
        <w:t>it</w:t>
      </w:r>
      <w:r w:rsidR="00817700">
        <w:rPr>
          <w:rFonts w:ascii="Century Schoolbook" w:hAnsi="Century Schoolbook" w:cs="Times New Roman"/>
          <w:sz w:val="24"/>
          <w:szCs w:val="24"/>
        </w:rPr>
        <w:t xml:space="preserve"> and</w:t>
      </w:r>
      <w:r w:rsidRPr="006C6879">
        <w:rPr>
          <w:rFonts w:ascii="Century Schoolbook" w:hAnsi="Century Schoolbook" w:cs="Times New Roman"/>
          <w:sz w:val="24"/>
          <w:szCs w:val="24"/>
        </w:rPr>
        <w:t xml:space="preserve"> </w:t>
      </w:r>
      <w:r w:rsidR="00774087">
        <w:rPr>
          <w:rFonts w:ascii="Century Schoolbook" w:hAnsi="Century Schoolbook" w:cs="Times New Roman"/>
          <w:sz w:val="24"/>
          <w:szCs w:val="24"/>
        </w:rPr>
        <w:t>give</w:t>
      </w:r>
      <w:r w:rsidR="00BA00F5" w:rsidRPr="006C6879">
        <w:rPr>
          <w:rFonts w:ascii="Century Schoolbook" w:hAnsi="Century Schoolbook" w:cs="Times New Roman"/>
          <w:sz w:val="24"/>
          <w:szCs w:val="24"/>
        </w:rPr>
        <w:t xml:space="preserve"> it a</w:t>
      </w:r>
      <w:r w:rsidR="00BD6B1D" w:rsidRPr="006C6879">
        <w:rPr>
          <w:rFonts w:ascii="Century Schoolbook" w:hAnsi="Century Schoolbook" w:cs="Times New Roman"/>
          <w:sz w:val="24"/>
          <w:szCs w:val="24"/>
        </w:rPr>
        <w:t xml:space="preserve"> ‘saintly status’</w:t>
      </w:r>
      <w:r w:rsidR="00B94707">
        <w:rPr>
          <w:rFonts w:ascii="Century Schoolbook" w:hAnsi="Century Schoolbook" w:cs="Times New Roman"/>
          <w:sz w:val="24"/>
          <w:szCs w:val="24"/>
        </w:rPr>
        <w:t>.</w:t>
      </w:r>
      <w:r w:rsidR="009D4C3F" w:rsidRPr="006C6879">
        <w:rPr>
          <w:rStyle w:val="FootnoteReference"/>
          <w:rFonts w:ascii="Century Schoolbook" w:hAnsi="Century Schoolbook" w:cs="Times New Roman"/>
          <w:sz w:val="24"/>
          <w:szCs w:val="24"/>
        </w:rPr>
        <w:footnoteReference w:id="5"/>
      </w:r>
      <w:r w:rsidR="00817700">
        <w:rPr>
          <w:rFonts w:ascii="Century Schoolbook" w:hAnsi="Century Schoolbook" w:cs="Times New Roman"/>
          <w:sz w:val="24"/>
          <w:szCs w:val="24"/>
        </w:rPr>
        <w:t xml:space="preserve"> </w:t>
      </w:r>
      <w:r w:rsidR="00C23559" w:rsidRPr="006C6879">
        <w:rPr>
          <w:rFonts w:ascii="Century Schoolbook" w:hAnsi="Century Schoolbook" w:cs="Times New Roman"/>
          <w:sz w:val="24"/>
          <w:szCs w:val="24"/>
        </w:rPr>
        <w:t xml:space="preserve">In </w:t>
      </w:r>
      <w:r w:rsidR="006F28C1" w:rsidRPr="006C6879">
        <w:rPr>
          <w:rFonts w:ascii="Century Schoolbook" w:hAnsi="Century Schoolbook" w:cs="Times New Roman"/>
          <w:sz w:val="24"/>
          <w:szCs w:val="24"/>
        </w:rPr>
        <w:t>fact</w:t>
      </w:r>
      <w:r w:rsidR="00C23559" w:rsidRPr="006C6879">
        <w:rPr>
          <w:rFonts w:ascii="Century Schoolbook" w:hAnsi="Century Schoolbook" w:cs="Times New Roman"/>
          <w:sz w:val="24"/>
          <w:szCs w:val="24"/>
        </w:rPr>
        <w:t xml:space="preserve">, </w:t>
      </w:r>
      <w:r w:rsidR="00B94707">
        <w:rPr>
          <w:rFonts w:ascii="Century Schoolbook" w:hAnsi="Century Schoolbook" w:cs="Times New Roman"/>
          <w:sz w:val="24"/>
          <w:szCs w:val="24"/>
        </w:rPr>
        <w:t xml:space="preserve">as this complaint will </w:t>
      </w:r>
      <w:r w:rsidR="00217776">
        <w:rPr>
          <w:rFonts w:ascii="Century Schoolbook" w:hAnsi="Century Schoolbook" w:cs="Times New Roman"/>
          <w:sz w:val="24"/>
          <w:szCs w:val="24"/>
        </w:rPr>
        <w:t>demonstrate</w:t>
      </w:r>
      <w:r w:rsidR="00B94707">
        <w:rPr>
          <w:rFonts w:ascii="Century Schoolbook" w:hAnsi="Century Schoolbook" w:cs="Times New Roman"/>
          <w:sz w:val="24"/>
          <w:szCs w:val="24"/>
        </w:rPr>
        <w:t xml:space="preserve">, </w:t>
      </w:r>
      <w:r w:rsidR="00C23559" w:rsidRPr="006C6879">
        <w:rPr>
          <w:rFonts w:ascii="Century Schoolbook" w:hAnsi="Century Schoolbook" w:cs="Times New Roman"/>
          <w:sz w:val="24"/>
          <w:szCs w:val="24"/>
        </w:rPr>
        <w:t>LASA is profoundly corrupt</w:t>
      </w:r>
      <w:r w:rsidR="009B4436" w:rsidRPr="006C6879">
        <w:rPr>
          <w:rFonts w:ascii="Century Schoolbook" w:hAnsi="Century Schoolbook" w:cs="Times New Roman"/>
          <w:sz w:val="24"/>
          <w:szCs w:val="24"/>
        </w:rPr>
        <w:t xml:space="preserve">. </w:t>
      </w:r>
      <w:r w:rsidR="0049099E" w:rsidRPr="006C6879">
        <w:rPr>
          <w:rFonts w:ascii="Century Schoolbook" w:hAnsi="Century Schoolbook" w:cs="Times New Roman"/>
          <w:sz w:val="24"/>
          <w:szCs w:val="24"/>
        </w:rPr>
        <w:t>Under the stewardship of former Board chairperson Dunstan Mlambo</w:t>
      </w:r>
      <w:r w:rsidR="00E93CF4">
        <w:rPr>
          <w:rFonts w:ascii="Century Schoolbook" w:hAnsi="Century Schoolbook" w:cs="Times New Roman"/>
          <w:sz w:val="24"/>
          <w:szCs w:val="24"/>
        </w:rPr>
        <w:t xml:space="preserve"> </w:t>
      </w:r>
      <w:r w:rsidR="0049099E" w:rsidRPr="006C6879">
        <w:rPr>
          <w:rFonts w:ascii="Century Schoolbook" w:hAnsi="Century Schoolbook" w:cs="Times New Roman"/>
          <w:sz w:val="24"/>
          <w:szCs w:val="24"/>
        </w:rPr>
        <w:t xml:space="preserve">JP and former CEO Vidhu Vedalankar (both </w:t>
      </w:r>
      <w:r w:rsidR="00255CF7" w:rsidRPr="006C6879">
        <w:rPr>
          <w:rFonts w:ascii="Century Schoolbook" w:hAnsi="Century Schoolbook" w:cs="Times New Roman"/>
          <w:sz w:val="24"/>
          <w:szCs w:val="24"/>
        </w:rPr>
        <w:t xml:space="preserve">of whom </w:t>
      </w:r>
      <w:r w:rsidR="0049099E" w:rsidRPr="006C6879">
        <w:rPr>
          <w:rFonts w:ascii="Century Schoolbook" w:hAnsi="Century Schoolbook" w:cs="Times New Roman"/>
          <w:sz w:val="24"/>
          <w:szCs w:val="24"/>
        </w:rPr>
        <w:t>retired in 2019)</w:t>
      </w:r>
      <w:r w:rsidR="009C54E8">
        <w:rPr>
          <w:rStyle w:val="FootnoteReference"/>
          <w:rFonts w:ascii="Century Schoolbook" w:hAnsi="Century Schoolbook" w:cs="Times New Roman"/>
          <w:sz w:val="24"/>
          <w:szCs w:val="24"/>
        </w:rPr>
        <w:footnoteReference w:id="6"/>
      </w:r>
      <w:r w:rsidR="005F3F8F" w:rsidRPr="006C6879">
        <w:rPr>
          <w:rFonts w:ascii="Century Schoolbook" w:hAnsi="Century Schoolbook" w:cs="Times New Roman"/>
          <w:sz w:val="24"/>
          <w:szCs w:val="24"/>
        </w:rPr>
        <w:t xml:space="preserve"> and</w:t>
      </w:r>
      <w:r w:rsidR="00614D61" w:rsidRPr="006C6879">
        <w:rPr>
          <w:rFonts w:ascii="Century Schoolbook" w:hAnsi="Century Schoolbook" w:cs="Times New Roman"/>
          <w:sz w:val="24"/>
          <w:szCs w:val="24"/>
        </w:rPr>
        <w:t xml:space="preserve"> with the active complicity of </w:t>
      </w:r>
      <w:r w:rsidR="0049099E" w:rsidRPr="006C6879">
        <w:rPr>
          <w:rFonts w:ascii="Century Schoolbook" w:hAnsi="Century Schoolbook" w:cs="Times New Roman"/>
          <w:sz w:val="24"/>
          <w:szCs w:val="24"/>
        </w:rPr>
        <w:t>Chief Legal Executive Patrick Hundermark</w:t>
      </w:r>
      <w:r w:rsidR="00DD1835">
        <w:rPr>
          <w:rFonts w:ascii="Century Schoolbook" w:hAnsi="Century Schoolbook" w:cs="Times New Roman"/>
          <w:sz w:val="24"/>
          <w:szCs w:val="24"/>
        </w:rPr>
        <w:t xml:space="preserve"> (now </w:t>
      </w:r>
      <w:r w:rsidR="00F21F31">
        <w:rPr>
          <w:rFonts w:ascii="Century Schoolbook" w:hAnsi="Century Schoolbook" w:cs="Times New Roman"/>
          <w:sz w:val="24"/>
          <w:szCs w:val="24"/>
        </w:rPr>
        <w:t xml:space="preserve">also </w:t>
      </w:r>
      <w:r w:rsidR="00DD1835">
        <w:rPr>
          <w:rFonts w:ascii="Century Schoolbook" w:hAnsi="Century Schoolbook" w:cs="Times New Roman"/>
          <w:sz w:val="24"/>
          <w:szCs w:val="24"/>
        </w:rPr>
        <w:t>a Board member)</w:t>
      </w:r>
      <w:r w:rsidR="0049099E" w:rsidRPr="006C6879">
        <w:rPr>
          <w:rFonts w:ascii="Century Schoolbook" w:hAnsi="Century Schoolbook" w:cs="Times New Roman"/>
          <w:sz w:val="24"/>
          <w:szCs w:val="24"/>
        </w:rPr>
        <w:t>, National Operations Executive Brian Nair</w:t>
      </w:r>
      <w:r w:rsidR="00DD1835">
        <w:rPr>
          <w:rFonts w:ascii="Century Schoolbook" w:hAnsi="Century Schoolbook" w:cs="Times New Roman"/>
          <w:sz w:val="24"/>
          <w:szCs w:val="24"/>
        </w:rPr>
        <w:t xml:space="preserve"> (now </w:t>
      </w:r>
      <w:r w:rsidR="00F21F31">
        <w:rPr>
          <w:rFonts w:ascii="Century Schoolbook" w:hAnsi="Century Schoolbook" w:cs="Times New Roman"/>
          <w:sz w:val="24"/>
          <w:szCs w:val="24"/>
        </w:rPr>
        <w:t xml:space="preserve">also </w:t>
      </w:r>
      <w:r w:rsidR="00DD1835">
        <w:rPr>
          <w:rFonts w:ascii="Century Schoolbook" w:hAnsi="Century Schoolbook" w:cs="Times New Roman"/>
          <w:sz w:val="24"/>
          <w:szCs w:val="24"/>
        </w:rPr>
        <w:t>a Board member)</w:t>
      </w:r>
      <w:r w:rsidR="002E2042" w:rsidRPr="006C6879">
        <w:rPr>
          <w:rFonts w:ascii="Century Schoolbook" w:hAnsi="Century Schoolbook" w:cs="Times New Roman"/>
          <w:sz w:val="24"/>
          <w:szCs w:val="24"/>
        </w:rPr>
        <w:t xml:space="preserve">, </w:t>
      </w:r>
      <w:r w:rsidR="006C4360">
        <w:rPr>
          <w:rFonts w:ascii="Century Schoolbook" w:hAnsi="Century Schoolbook" w:cs="Times New Roman"/>
          <w:sz w:val="24"/>
          <w:szCs w:val="24"/>
        </w:rPr>
        <w:t xml:space="preserve">and </w:t>
      </w:r>
      <w:r w:rsidR="0049099E" w:rsidRPr="006C6879">
        <w:rPr>
          <w:rFonts w:ascii="Century Schoolbook" w:hAnsi="Century Schoolbook" w:cs="Times New Roman"/>
          <w:sz w:val="24"/>
          <w:szCs w:val="24"/>
        </w:rPr>
        <w:t>Human Resources Executive Amanda Clark</w:t>
      </w:r>
      <w:r w:rsidR="00344AFC">
        <w:rPr>
          <w:rFonts w:ascii="Century Schoolbook" w:hAnsi="Century Schoolbook" w:cs="Times New Roman"/>
          <w:sz w:val="24"/>
          <w:szCs w:val="24"/>
        </w:rPr>
        <w:t>,</w:t>
      </w:r>
      <w:r w:rsidR="002E2042" w:rsidRPr="006C6879">
        <w:rPr>
          <w:rFonts w:ascii="Century Schoolbook" w:hAnsi="Century Schoolbook" w:cs="Times New Roman"/>
          <w:sz w:val="24"/>
          <w:szCs w:val="24"/>
        </w:rPr>
        <w:t xml:space="preserve"> </w:t>
      </w:r>
      <w:r w:rsidR="00217776">
        <w:rPr>
          <w:rFonts w:ascii="Century Schoolbook" w:hAnsi="Century Schoolbook" w:cs="Times New Roman"/>
          <w:sz w:val="24"/>
          <w:szCs w:val="24"/>
        </w:rPr>
        <w:t xml:space="preserve">proper </w:t>
      </w:r>
      <w:r w:rsidR="00217776" w:rsidRPr="006C6879">
        <w:rPr>
          <w:rFonts w:ascii="Century Schoolbook" w:hAnsi="Century Schoolbook" w:cs="Times New Roman"/>
          <w:sz w:val="24"/>
          <w:szCs w:val="24"/>
        </w:rPr>
        <w:t>corporate governance</w:t>
      </w:r>
      <w:r w:rsidR="00217776" w:rsidRPr="00217776">
        <w:rPr>
          <w:rFonts w:ascii="Century Schoolbook" w:hAnsi="Century Schoolbook" w:cs="Times New Roman"/>
          <w:sz w:val="24"/>
          <w:szCs w:val="24"/>
        </w:rPr>
        <w:t xml:space="preserve"> </w:t>
      </w:r>
      <w:r w:rsidR="00217776">
        <w:rPr>
          <w:rFonts w:ascii="Century Schoolbook" w:hAnsi="Century Schoolbook" w:cs="Times New Roman"/>
          <w:sz w:val="24"/>
          <w:szCs w:val="24"/>
        </w:rPr>
        <w:t>and</w:t>
      </w:r>
      <w:r w:rsidR="00F21F31">
        <w:rPr>
          <w:rFonts w:ascii="Century Schoolbook" w:hAnsi="Century Schoolbook" w:cs="Times New Roman"/>
          <w:sz w:val="24"/>
          <w:szCs w:val="24"/>
        </w:rPr>
        <w:t xml:space="preserve"> the rule of law</w:t>
      </w:r>
      <w:r w:rsidR="00A475A6">
        <w:rPr>
          <w:rFonts w:ascii="Century Schoolbook" w:hAnsi="Century Schoolbook" w:cs="Times New Roman"/>
          <w:sz w:val="24"/>
          <w:szCs w:val="24"/>
        </w:rPr>
        <w:t xml:space="preserve"> at LASA </w:t>
      </w:r>
      <w:r w:rsidR="00217776">
        <w:rPr>
          <w:rFonts w:ascii="Century Schoolbook" w:hAnsi="Century Schoolbook" w:cs="Times New Roman"/>
          <w:sz w:val="24"/>
          <w:szCs w:val="24"/>
        </w:rPr>
        <w:t xml:space="preserve">seriously </w:t>
      </w:r>
      <w:r w:rsidR="00A475A6">
        <w:rPr>
          <w:rFonts w:ascii="Century Schoolbook" w:hAnsi="Century Schoolbook" w:cs="Times New Roman"/>
          <w:sz w:val="24"/>
          <w:szCs w:val="24"/>
        </w:rPr>
        <w:t>broke down</w:t>
      </w:r>
      <w:r w:rsidR="002A0259">
        <w:rPr>
          <w:rFonts w:ascii="Century Schoolbook" w:hAnsi="Century Schoolbook" w:cs="Times New Roman"/>
          <w:sz w:val="24"/>
          <w:szCs w:val="24"/>
        </w:rPr>
        <w:t>, with criminal lawlessness becoming the norm</w:t>
      </w:r>
      <w:r w:rsidR="00940367">
        <w:rPr>
          <w:rFonts w:ascii="Century Schoolbook" w:hAnsi="Century Schoolbook" w:cs="Times New Roman"/>
          <w:sz w:val="24"/>
          <w:szCs w:val="24"/>
        </w:rPr>
        <w:t>.</w:t>
      </w:r>
      <w:r w:rsidR="0049099E" w:rsidRPr="006C6879">
        <w:rPr>
          <w:rFonts w:ascii="Century Schoolbook" w:hAnsi="Century Schoolbook" w:cs="Times New Roman"/>
          <w:sz w:val="24"/>
          <w:szCs w:val="24"/>
        </w:rPr>
        <w:t xml:space="preserve"> </w:t>
      </w:r>
    </w:p>
    <w:p w:rsidR="00940367" w:rsidRDefault="00B2258D" w:rsidP="00BE754D">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Chief Operations Executive Jerry Makokoane </w:t>
      </w:r>
      <w:r>
        <w:rPr>
          <w:rFonts w:ascii="Century Schoolbook" w:hAnsi="Century Schoolbook" w:cs="Times New Roman"/>
          <w:sz w:val="24"/>
          <w:szCs w:val="24"/>
        </w:rPr>
        <w:t>(</w:t>
      </w:r>
      <w:r w:rsidRPr="00C739F1">
        <w:rPr>
          <w:rFonts w:ascii="Century Schoolbook" w:hAnsi="Century Schoolbook" w:cs="Times New Roman"/>
          <w:sz w:val="24"/>
          <w:szCs w:val="24"/>
        </w:rPr>
        <w:t xml:space="preserve">now </w:t>
      </w:r>
      <w:r w:rsidR="00F21F31">
        <w:rPr>
          <w:rFonts w:ascii="Century Schoolbook" w:hAnsi="Century Schoolbook" w:cs="Times New Roman"/>
          <w:sz w:val="24"/>
          <w:szCs w:val="24"/>
        </w:rPr>
        <w:t>also</w:t>
      </w:r>
      <w:r w:rsidR="00F21F31" w:rsidRPr="00C739F1">
        <w:rPr>
          <w:rFonts w:ascii="Century Schoolbook" w:hAnsi="Century Schoolbook" w:cs="Times New Roman"/>
          <w:sz w:val="24"/>
          <w:szCs w:val="24"/>
        </w:rPr>
        <w:t xml:space="preserve"> </w:t>
      </w:r>
      <w:r w:rsidRPr="00C739F1">
        <w:rPr>
          <w:rFonts w:ascii="Century Schoolbook" w:hAnsi="Century Schoolbook" w:cs="Times New Roman"/>
          <w:sz w:val="24"/>
          <w:szCs w:val="24"/>
        </w:rPr>
        <w:t>a Board member</w:t>
      </w:r>
      <w:r>
        <w:rPr>
          <w:rFonts w:ascii="Century Schoolbook" w:hAnsi="Century Schoolbook" w:cs="Times New Roman"/>
          <w:sz w:val="24"/>
          <w:szCs w:val="24"/>
        </w:rPr>
        <w:t>)</w:t>
      </w:r>
      <w:r w:rsidRPr="00B2258D">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and </w:t>
      </w:r>
      <w:r w:rsidR="00E602C5" w:rsidRPr="006C6879">
        <w:rPr>
          <w:rFonts w:ascii="Century Schoolbook" w:hAnsi="Century Schoolbook" w:cs="Times New Roman"/>
          <w:sz w:val="24"/>
          <w:szCs w:val="24"/>
        </w:rPr>
        <w:t xml:space="preserve">Chief Financial Officer Rebecca Hlabatau </w:t>
      </w:r>
      <w:r w:rsidR="0049099E" w:rsidRPr="006C6879">
        <w:rPr>
          <w:rFonts w:ascii="Century Schoolbook" w:hAnsi="Century Schoolbook" w:cs="Times New Roman"/>
          <w:sz w:val="24"/>
          <w:szCs w:val="24"/>
        </w:rPr>
        <w:t>turn</w:t>
      </w:r>
      <w:r w:rsidR="00614D61" w:rsidRPr="006C6879">
        <w:rPr>
          <w:rFonts w:ascii="Century Schoolbook" w:hAnsi="Century Schoolbook" w:cs="Times New Roman"/>
          <w:sz w:val="24"/>
          <w:szCs w:val="24"/>
        </w:rPr>
        <w:t>ed</w:t>
      </w:r>
      <w:r w:rsidR="0049099E" w:rsidRPr="006C6879">
        <w:rPr>
          <w:rFonts w:ascii="Century Schoolbook" w:hAnsi="Century Schoolbook" w:cs="Times New Roman"/>
          <w:sz w:val="24"/>
          <w:szCs w:val="24"/>
        </w:rPr>
        <w:t xml:space="preserve"> a blind eye</w:t>
      </w:r>
      <w:r w:rsidR="00F619A8" w:rsidRPr="006C6879">
        <w:rPr>
          <w:rFonts w:ascii="Century Schoolbook" w:hAnsi="Century Schoolbook" w:cs="Times New Roman"/>
          <w:sz w:val="24"/>
          <w:szCs w:val="24"/>
        </w:rPr>
        <w:t xml:space="preserve"> to the corruption called to their attention</w:t>
      </w:r>
      <w:r w:rsidR="00B75E1C" w:rsidRPr="006C6879">
        <w:rPr>
          <w:rFonts w:ascii="Century Schoolbook" w:hAnsi="Century Schoolbook" w:cs="Times New Roman"/>
          <w:sz w:val="24"/>
          <w:szCs w:val="24"/>
        </w:rPr>
        <w:t xml:space="preserve">, </w:t>
      </w:r>
      <w:r w:rsidR="00614D61" w:rsidRPr="006C6879">
        <w:rPr>
          <w:rFonts w:ascii="Century Schoolbook" w:hAnsi="Century Schoolbook" w:cs="Times New Roman"/>
          <w:sz w:val="24"/>
          <w:szCs w:val="24"/>
        </w:rPr>
        <w:t xml:space="preserve">as </w:t>
      </w:r>
      <w:r w:rsidR="00FC3991" w:rsidRPr="006C6879">
        <w:rPr>
          <w:rFonts w:ascii="Century Schoolbook" w:hAnsi="Century Schoolbook" w:cs="Times New Roman"/>
          <w:sz w:val="24"/>
          <w:szCs w:val="24"/>
        </w:rPr>
        <w:t xml:space="preserve">did </w:t>
      </w:r>
      <w:r w:rsidR="00F619A8" w:rsidRPr="006C6879">
        <w:rPr>
          <w:rFonts w:ascii="Century Schoolbook" w:hAnsi="Century Schoolbook" w:cs="Times New Roman"/>
          <w:sz w:val="24"/>
          <w:szCs w:val="24"/>
        </w:rPr>
        <w:t>Board member Pieter du Rand,</w:t>
      </w:r>
      <w:r w:rsidR="001C651D">
        <w:rPr>
          <w:rStyle w:val="FootnoteReference"/>
          <w:rFonts w:ascii="Century Schoolbook" w:hAnsi="Century Schoolbook" w:cs="Times New Roman"/>
          <w:sz w:val="24"/>
          <w:szCs w:val="24"/>
        </w:rPr>
        <w:footnoteReference w:id="7"/>
      </w:r>
      <w:r w:rsidR="001C651D" w:rsidRPr="006C6879">
        <w:rPr>
          <w:rFonts w:ascii="Century Schoolbook" w:hAnsi="Century Schoolbook" w:cs="Times New Roman"/>
          <w:sz w:val="24"/>
          <w:szCs w:val="24"/>
        </w:rPr>
        <w:t xml:space="preserve"> </w:t>
      </w:r>
      <w:r w:rsidR="00065C58">
        <w:rPr>
          <w:rFonts w:ascii="Century Schoolbook" w:hAnsi="Century Schoolbook" w:cs="Times New Roman"/>
          <w:sz w:val="24"/>
          <w:szCs w:val="24"/>
        </w:rPr>
        <w:t xml:space="preserve">then and still </w:t>
      </w:r>
      <w:r w:rsidR="00F619A8" w:rsidRPr="006C6879">
        <w:rPr>
          <w:rFonts w:ascii="Century Schoolbook" w:hAnsi="Century Schoolbook" w:cs="Times New Roman"/>
          <w:sz w:val="24"/>
          <w:szCs w:val="24"/>
        </w:rPr>
        <w:t>represent</w:t>
      </w:r>
      <w:r w:rsidR="00C02365">
        <w:rPr>
          <w:rFonts w:ascii="Century Schoolbook" w:hAnsi="Century Schoolbook" w:cs="Times New Roman"/>
          <w:sz w:val="24"/>
          <w:szCs w:val="24"/>
        </w:rPr>
        <w:t xml:space="preserve">ing </w:t>
      </w:r>
      <w:r w:rsidR="00274EE6" w:rsidRPr="006C6879">
        <w:rPr>
          <w:rFonts w:ascii="Century Schoolbook" w:hAnsi="Century Schoolbook" w:cs="Times New Roman"/>
          <w:sz w:val="24"/>
          <w:szCs w:val="24"/>
        </w:rPr>
        <w:t>the Department</w:t>
      </w:r>
      <w:r w:rsidR="00F619A8" w:rsidRPr="006C6879">
        <w:rPr>
          <w:rFonts w:ascii="Century Schoolbook" w:hAnsi="Century Schoolbook" w:cs="Times New Roman"/>
          <w:sz w:val="24"/>
          <w:szCs w:val="24"/>
        </w:rPr>
        <w:t xml:space="preserve"> of</w:t>
      </w:r>
      <w:r w:rsidR="00274EE6" w:rsidRPr="006C6879">
        <w:rPr>
          <w:rFonts w:ascii="Century Schoolbook" w:hAnsi="Century Schoolbook" w:cs="Times New Roman"/>
          <w:sz w:val="24"/>
          <w:szCs w:val="24"/>
        </w:rPr>
        <w:t xml:space="preserve"> </w:t>
      </w:r>
      <w:r w:rsidR="00F619A8" w:rsidRPr="006C6879">
        <w:rPr>
          <w:rFonts w:ascii="Century Schoolbook" w:hAnsi="Century Schoolbook" w:cs="Times New Roman"/>
          <w:sz w:val="24"/>
          <w:szCs w:val="24"/>
        </w:rPr>
        <w:t>Justice and Correctional Service</w:t>
      </w:r>
      <w:r w:rsidR="00C0014E">
        <w:rPr>
          <w:rFonts w:ascii="Century Schoolbook" w:hAnsi="Century Schoolbook" w:cs="Times New Roman"/>
          <w:sz w:val="24"/>
          <w:szCs w:val="24"/>
        </w:rPr>
        <w:t>s</w:t>
      </w:r>
      <w:r w:rsidR="00F619A8" w:rsidRPr="006C6879">
        <w:rPr>
          <w:rFonts w:ascii="Century Schoolbook" w:hAnsi="Century Schoolbook" w:cs="Times New Roman"/>
          <w:sz w:val="24"/>
          <w:szCs w:val="24"/>
        </w:rPr>
        <w:t xml:space="preserve"> (‘the Department’)</w:t>
      </w:r>
      <w:r w:rsidR="00C02365">
        <w:rPr>
          <w:rFonts w:ascii="Century Schoolbook" w:hAnsi="Century Schoolbook" w:cs="Times New Roman"/>
          <w:sz w:val="24"/>
          <w:szCs w:val="24"/>
        </w:rPr>
        <w:t xml:space="preserve"> on the Board</w:t>
      </w:r>
      <w:r w:rsidR="004121E1">
        <w:rPr>
          <w:rFonts w:ascii="Century Schoolbook" w:hAnsi="Century Schoolbook" w:cs="Times New Roman"/>
          <w:sz w:val="24"/>
          <w:szCs w:val="24"/>
        </w:rPr>
        <w:t xml:space="preserve">, </w:t>
      </w:r>
      <w:r w:rsidR="002A0259">
        <w:rPr>
          <w:rFonts w:ascii="Century Schoolbook" w:hAnsi="Century Schoolbook" w:cs="Times New Roman"/>
          <w:sz w:val="24"/>
          <w:szCs w:val="24"/>
        </w:rPr>
        <w:t xml:space="preserve">thus </w:t>
      </w:r>
      <w:r w:rsidR="004121E1">
        <w:rPr>
          <w:rFonts w:ascii="Century Schoolbook" w:hAnsi="Century Schoolbook" w:cs="Times New Roman"/>
          <w:sz w:val="24"/>
          <w:szCs w:val="24"/>
        </w:rPr>
        <w:t>betraying</w:t>
      </w:r>
      <w:r>
        <w:rPr>
          <w:rFonts w:ascii="Century Schoolbook" w:hAnsi="Century Schoolbook" w:cs="Times New Roman"/>
          <w:sz w:val="24"/>
          <w:szCs w:val="24"/>
        </w:rPr>
        <w:t xml:space="preserve"> </w:t>
      </w:r>
      <w:r w:rsidR="004121E1">
        <w:rPr>
          <w:rFonts w:ascii="Century Schoolbook" w:hAnsi="Century Schoolbook" w:cs="Times New Roman"/>
          <w:sz w:val="24"/>
          <w:szCs w:val="24"/>
        </w:rPr>
        <w:t>his fiduciary duty to LASA</w:t>
      </w:r>
      <w:r w:rsidR="004C0835">
        <w:rPr>
          <w:rFonts w:ascii="Century Schoolbook" w:hAnsi="Century Schoolbook" w:cs="Times New Roman"/>
          <w:sz w:val="24"/>
          <w:szCs w:val="24"/>
        </w:rPr>
        <w:t xml:space="preserve"> and his </w:t>
      </w:r>
      <w:r w:rsidR="001C651D">
        <w:rPr>
          <w:rFonts w:ascii="Century Schoolbook" w:hAnsi="Century Schoolbook" w:cs="Times New Roman"/>
          <w:sz w:val="24"/>
          <w:szCs w:val="24"/>
        </w:rPr>
        <w:t xml:space="preserve">watching </w:t>
      </w:r>
      <w:r w:rsidR="008D0867">
        <w:rPr>
          <w:rFonts w:ascii="Century Schoolbook" w:hAnsi="Century Schoolbook" w:cs="Times New Roman"/>
          <w:sz w:val="24"/>
          <w:szCs w:val="24"/>
        </w:rPr>
        <w:t xml:space="preserve">brief </w:t>
      </w:r>
      <w:r w:rsidR="008B12C7">
        <w:rPr>
          <w:rFonts w:ascii="Century Schoolbook" w:hAnsi="Century Schoolbook" w:cs="Times New Roman"/>
          <w:sz w:val="24"/>
          <w:szCs w:val="24"/>
        </w:rPr>
        <w:t>from</w:t>
      </w:r>
      <w:r w:rsidR="004C0835">
        <w:rPr>
          <w:rFonts w:ascii="Century Schoolbook" w:hAnsi="Century Schoolbook" w:cs="Times New Roman"/>
          <w:sz w:val="24"/>
          <w:szCs w:val="24"/>
        </w:rPr>
        <w:t xml:space="preserve"> the Department</w:t>
      </w:r>
      <w:r w:rsidR="004121E1">
        <w:rPr>
          <w:rFonts w:ascii="Century Schoolbook" w:hAnsi="Century Schoolbook" w:cs="Times New Roman"/>
          <w:sz w:val="24"/>
          <w:szCs w:val="24"/>
        </w:rPr>
        <w:t>.</w:t>
      </w:r>
      <w:r w:rsidR="00733203">
        <w:rPr>
          <w:rFonts w:ascii="Century Schoolbook" w:hAnsi="Century Schoolbook" w:cs="Times New Roman"/>
          <w:sz w:val="24"/>
          <w:szCs w:val="24"/>
        </w:rPr>
        <w:t xml:space="preserve"> Board Secretary Langa Lethiba failed to </w:t>
      </w:r>
      <w:r w:rsidR="00733203">
        <w:rPr>
          <w:rFonts w:ascii="Century Schoolbook" w:hAnsi="Century Schoolbook" w:cs="Times New Roman"/>
          <w:sz w:val="24"/>
          <w:szCs w:val="24"/>
        </w:rPr>
        <w:lastRenderedPageBreak/>
        <w:t xml:space="preserve">inform the Board of the illegalities brought to his attention, </w:t>
      </w:r>
      <w:r w:rsidR="002A0259">
        <w:rPr>
          <w:rFonts w:ascii="Century Schoolbook" w:hAnsi="Century Schoolbook" w:cs="Times New Roman"/>
          <w:sz w:val="24"/>
          <w:szCs w:val="24"/>
        </w:rPr>
        <w:t xml:space="preserve">thereby </w:t>
      </w:r>
      <w:r w:rsidR="00733203">
        <w:rPr>
          <w:rFonts w:ascii="Century Schoolbook" w:hAnsi="Century Schoolbook" w:cs="Times New Roman"/>
          <w:sz w:val="24"/>
          <w:szCs w:val="24"/>
        </w:rPr>
        <w:t>preventing it from acting to remedy them.</w:t>
      </w:r>
      <w:r w:rsidR="00B035C2">
        <w:rPr>
          <w:rStyle w:val="FootnoteReference"/>
          <w:rFonts w:ascii="Century Schoolbook" w:hAnsi="Century Schoolbook" w:cs="Times New Roman"/>
          <w:sz w:val="24"/>
          <w:szCs w:val="24"/>
        </w:rPr>
        <w:footnoteReference w:id="8"/>
      </w:r>
    </w:p>
    <w:p w:rsidR="00DA13D1" w:rsidRDefault="00BD5739" w:rsidP="00BE754D">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w:t>
      </w:r>
      <w:r w:rsidR="00FB47EF">
        <w:rPr>
          <w:rFonts w:ascii="Century Schoolbook" w:hAnsi="Century Schoolbook" w:cs="Times New Roman"/>
          <w:sz w:val="24"/>
          <w:szCs w:val="24"/>
        </w:rPr>
        <w:t xml:space="preserve">wholesale </w:t>
      </w:r>
      <w:r w:rsidRPr="006C6879">
        <w:rPr>
          <w:rFonts w:ascii="Century Schoolbook" w:hAnsi="Century Schoolbook" w:cs="Times New Roman"/>
          <w:sz w:val="24"/>
          <w:szCs w:val="24"/>
        </w:rPr>
        <w:t xml:space="preserve">corruption </w:t>
      </w:r>
      <w:r w:rsidR="002550CF" w:rsidRPr="006C6879">
        <w:rPr>
          <w:rFonts w:ascii="Century Schoolbook" w:hAnsi="Century Schoolbook" w:cs="Times New Roman"/>
          <w:sz w:val="24"/>
          <w:szCs w:val="24"/>
        </w:rPr>
        <w:t xml:space="preserve">at LASA </w:t>
      </w:r>
      <w:r w:rsidR="00543166">
        <w:rPr>
          <w:rFonts w:ascii="Century Schoolbook" w:hAnsi="Century Schoolbook" w:cs="Times New Roman"/>
          <w:sz w:val="24"/>
          <w:szCs w:val="24"/>
        </w:rPr>
        <w:t>address</w:t>
      </w:r>
      <w:r w:rsidR="00DA13D1" w:rsidRPr="006C6879">
        <w:rPr>
          <w:rFonts w:ascii="Century Schoolbook" w:hAnsi="Century Schoolbook" w:cs="Times New Roman"/>
          <w:sz w:val="24"/>
          <w:szCs w:val="24"/>
        </w:rPr>
        <w:t>ed in this complaint</w:t>
      </w:r>
      <w:r w:rsidR="0028734F">
        <w:rPr>
          <w:rStyle w:val="FootnoteReference"/>
          <w:rFonts w:ascii="Century Schoolbook" w:hAnsi="Century Schoolbook" w:cs="Times New Roman"/>
          <w:sz w:val="24"/>
          <w:szCs w:val="24"/>
        </w:rPr>
        <w:footnoteReference w:id="9"/>
      </w:r>
      <w:r w:rsidR="00243D4B" w:rsidRPr="006C6879">
        <w:rPr>
          <w:rFonts w:ascii="Century Schoolbook" w:hAnsi="Century Schoolbook" w:cs="Times New Roman"/>
          <w:sz w:val="24"/>
          <w:szCs w:val="24"/>
        </w:rPr>
        <w:t xml:space="preserve"> </w:t>
      </w:r>
      <w:r w:rsidR="007A7B92">
        <w:rPr>
          <w:rFonts w:ascii="Century Schoolbook" w:hAnsi="Century Schoolbook" w:cs="Times New Roman"/>
          <w:sz w:val="24"/>
          <w:szCs w:val="24"/>
        </w:rPr>
        <w:t>had its beginning in</w:t>
      </w:r>
      <w:r w:rsidR="00BE6744" w:rsidRPr="006C6879">
        <w:rPr>
          <w:rFonts w:ascii="Century Schoolbook" w:hAnsi="Century Schoolbook" w:cs="Times New Roman"/>
          <w:sz w:val="24"/>
          <w:szCs w:val="24"/>
        </w:rPr>
        <w:t xml:space="preserve"> </w:t>
      </w:r>
      <w:r w:rsidR="00C51BB6" w:rsidRPr="00B2258D">
        <w:rPr>
          <w:rFonts w:ascii="Century Schoolbook" w:hAnsi="Century Schoolbook" w:cs="Times New Roman"/>
          <w:sz w:val="24"/>
          <w:szCs w:val="24"/>
        </w:rPr>
        <w:t>non</w:t>
      </w:r>
      <w:r w:rsidR="00EC5A62">
        <w:rPr>
          <w:rFonts w:ascii="Century Schoolbook" w:hAnsi="Century Schoolbook" w:cs="Times New Roman"/>
          <w:sz w:val="24"/>
          <w:szCs w:val="24"/>
        </w:rPr>
        <w:t>-</w:t>
      </w:r>
      <w:r w:rsidR="00C51BB6" w:rsidRPr="00B2258D">
        <w:rPr>
          <w:rFonts w:ascii="Century Schoolbook" w:hAnsi="Century Schoolbook" w:cs="Times New Roman"/>
          <w:sz w:val="24"/>
          <w:szCs w:val="24"/>
        </w:rPr>
        <w:t>executive</w:t>
      </w:r>
      <w:r w:rsidR="00B80EF3" w:rsidRPr="0028734F">
        <w:rPr>
          <w:rStyle w:val="FootnoteReference"/>
          <w:rFonts w:ascii="Century Schoolbook" w:hAnsi="Century Schoolbook" w:cs="Times New Roman"/>
          <w:sz w:val="24"/>
          <w:szCs w:val="24"/>
        </w:rPr>
        <w:footnoteReference w:id="10"/>
      </w:r>
      <w:r w:rsidR="00C51BB6">
        <w:rPr>
          <w:rFonts w:ascii="Century Schoolbook" w:hAnsi="Century Schoolbook" w:cs="Times New Roman"/>
          <w:sz w:val="24"/>
          <w:szCs w:val="24"/>
        </w:rPr>
        <w:t xml:space="preserve"> </w:t>
      </w:r>
      <w:r w:rsidR="00DA13D1" w:rsidRPr="006C6879">
        <w:rPr>
          <w:rFonts w:ascii="Century Schoolbook" w:hAnsi="Century Schoolbook" w:cs="Times New Roman"/>
          <w:sz w:val="24"/>
          <w:szCs w:val="24"/>
        </w:rPr>
        <w:t xml:space="preserve">Board </w:t>
      </w:r>
      <w:r w:rsidR="002E2042" w:rsidRPr="006C6879">
        <w:rPr>
          <w:rFonts w:ascii="Century Schoolbook" w:hAnsi="Century Schoolbook" w:cs="Times New Roman"/>
          <w:sz w:val="24"/>
          <w:szCs w:val="24"/>
        </w:rPr>
        <w:t xml:space="preserve">chairperson </w:t>
      </w:r>
      <w:r w:rsidR="00DA13D1" w:rsidRPr="006C6879">
        <w:rPr>
          <w:rFonts w:ascii="Century Schoolbook" w:hAnsi="Century Schoolbook" w:cs="Times New Roman"/>
          <w:sz w:val="24"/>
          <w:szCs w:val="24"/>
        </w:rPr>
        <w:t xml:space="preserve">Mlambo JP’s </w:t>
      </w:r>
      <w:r w:rsidR="00F619A8" w:rsidRPr="006C6879">
        <w:rPr>
          <w:rFonts w:ascii="Century Schoolbook" w:hAnsi="Century Schoolbook" w:cs="Times New Roman"/>
          <w:sz w:val="24"/>
          <w:szCs w:val="24"/>
        </w:rPr>
        <w:t>illegal</w:t>
      </w:r>
      <w:r w:rsidR="00C51BB6">
        <w:rPr>
          <w:rFonts w:ascii="Century Schoolbook" w:hAnsi="Century Schoolbook" w:cs="Times New Roman"/>
          <w:sz w:val="24"/>
          <w:szCs w:val="24"/>
        </w:rPr>
        <w:t xml:space="preserve"> </w:t>
      </w:r>
      <w:r w:rsidR="006313E7" w:rsidRPr="006C6879">
        <w:rPr>
          <w:rFonts w:ascii="Century Schoolbook" w:hAnsi="Century Schoolbook" w:cs="Times New Roman"/>
          <w:sz w:val="24"/>
          <w:szCs w:val="24"/>
        </w:rPr>
        <w:t>intru</w:t>
      </w:r>
      <w:r w:rsidR="006313E7">
        <w:rPr>
          <w:rFonts w:ascii="Century Schoolbook" w:hAnsi="Century Schoolbook" w:cs="Times New Roman"/>
          <w:sz w:val="24"/>
          <w:szCs w:val="24"/>
        </w:rPr>
        <w:t xml:space="preserve">sion into and </w:t>
      </w:r>
      <w:r w:rsidR="00327012">
        <w:rPr>
          <w:rFonts w:ascii="Century Schoolbook" w:hAnsi="Century Schoolbook" w:cs="Times New Roman"/>
          <w:sz w:val="24"/>
          <w:szCs w:val="24"/>
        </w:rPr>
        <w:t>interference with</w:t>
      </w:r>
      <w:r w:rsidR="00F619A8" w:rsidRPr="006C6879">
        <w:rPr>
          <w:rFonts w:ascii="Century Schoolbook" w:hAnsi="Century Schoolbook" w:cs="Times New Roman"/>
          <w:sz w:val="24"/>
          <w:szCs w:val="24"/>
        </w:rPr>
        <w:t xml:space="preserve"> </w:t>
      </w:r>
      <w:r w:rsidR="006313E7">
        <w:rPr>
          <w:rFonts w:ascii="Century Schoolbook" w:hAnsi="Century Schoolbook" w:cs="Times New Roman"/>
          <w:sz w:val="24"/>
          <w:szCs w:val="24"/>
        </w:rPr>
        <w:t xml:space="preserve">senior </w:t>
      </w:r>
      <w:r w:rsidR="007A7B92">
        <w:rPr>
          <w:rFonts w:ascii="Century Schoolbook" w:hAnsi="Century Schoolbook" w:cs="Times New Roman"/>
          <w:sz w:val="24"/>
          <w:szCs w:val="24"/>
        </w:rPr>
        <w:t xml:space="preserve">professional </w:t>
      </w:r>
      <w:r w:rsidR="00F619A8" w:rsidRPr="006C6879">
        <w:rPr>
          <w:rFonts w:ascii="Century Schoolbook" w:hAnsi="Century Schoolbook" w:cs="Times New Roman"/>
          <w:sz w:val="24"/>
          <w:szCs w:val="24"/>
        </w:rPr>
        <w:t>staff recruitment</w:t>
      </w:r>
      <w:r w:rsidR="00C51BB6" w:rsidRPr="006C6879">
        <w:rPr>
          <w:rStyle w:val="FootnoteReference"/>
          <w:rFonts w:ascii="Century Schoolbook" w:hAnsi="Century Schoolbook" w:cs="Times New Roman"/>
          <w:sz w:val="24"/>
          <w:szCs w:val="24"/>
        </w:rPr>
        <w:footnoteReference w:id="11"/>
      </w:r>
      <w:r w:rsidR="00B80EF3">
        <w:rPr>
          <w:rFonts w:ascii="Century Schoolbook" w:hAnsi="Century Schoolbook" w:cs="Times New Roman"/>
          <w:sz w:val="24"/>
          <w:szCs w:val="24"/>
        </w:rPr>
        <w:t xml:space="preserve"> – </w:t>
      </w:r>
      <w:r w:rsidR="00543166">
        <w:rPr>
          <w:rFonts w:ascii="Century Schoolbook" w:hAnsi="Century Schoolbook" w:cs="Times New Roman"/>
          <w:sz w:val="24"/>
          <w:szCs w:val="24"/>
        </w:rPr>
        <w:t xml:space="preserve">in so doing, </w:t>
      </w:r>
      <w:r w:rsidR="00F614D8">
        <w:rPr>
          <w:rFonts w:ascii="Century Schoolbook" w:hAnsi="Century Schoolbook" w:cs="Times New Roman"/>
          <w:sz w:val="24"/>
          <w:szCs w:val="24"/>
        </w:rPr>
        <w:t xml:space="preserve">lawlessly </w:t>
      </w:r>
      <w:r w:rsidR="00327012">
        <w:rPr>
          <w:rFonts w:ascii="Century Schoolbook" w:hAnsi="Century Schoolbook" w:cs="Times New Roman"/>
          <w:sz w:val="24"/>
          <w:szCs w:val="24"/>
        </w:rPr>
        <w:t xml:space="preserve">disregarding and </w:t>
      </w:r>
      <w:r w:rsidR="00A86263">
        <w:rPr>
          <w:rFonts w:ascii="Century Schoolbook" w:hAnsi="Century Schoolbook" w:cs="Times New Roman"/>
          <w:sz w:val="24"/>
          <w:szCs w:val="24"/>
        </w:rPr>
        <w:t>flouting</w:t>
      </w:r>
      <w:r w:rsidR="00251739">
        <w:rPr>
          <w:rFonts w:ascii="Century Schoolbook" w:hAnsi="Century Schoolbook" w:cs="Times New Roman"/>
          <w:sz w:val="24"/>
          <w:szCs w:val="24"/>
        </w:rPr>
        <w:t xml:space="preserve"> </w:t>
      </w:r>
      <w:r w:rsidR="00DA13D1" w:rsidRPr="006C6879">
        <w:rPr>
          <w:rFonts w:ascii="Century Schoolbook" w:hAnsi="Century Schoolbook" w:cs="Times New Roman"/>
          <w:sz w:val="24"/>
          <w:szCs w:val="24"/>
        </w:rPr>
        <w:t>LASA’s internal regulations</w:t>
      </w:r>
      <w:r w:rsidRPr="006C6879">
        <w:rPr>
          <w:rFonts w:ascii="Century Schoolbook" w:hAnsi="Century Schoolbook" w:cs="Times New Roman"/>
          <w:sz w:val="24"/>
          <w:szCs w:val="24"/>
        </w:rPr>
        <w:t xml:space="preserve"> </w:t>
      </w:r>
      <w:r w:rsidR="00B80EF3">
        <w:rPr>
          <w:rFonts w:ascii="Century Schoolbook" w:hAnsi="Century Schoolbook" w:cs="Times New Roman"/>
          <w:sz w:val="24"/>
          <w:szCs w:val="24"/>
        </w:rPr>
        <w:t xml:space="preserve">precisely </w:t>
      </w:r>
      <w:r w:rsidR="00F619A8" w:rsidRPr="006C6879">
        <w:rPr>
          <w:rFonts w:ascii="Century Schoolbook" w:hAnsi="Century Schoolbook" w:cs="Times New Roman"/>
          <w:sz w:val="24"/>
          <w:szCs w:val="24"/>
        </w:rPr>
        <w:t xml:space="preserve">governing </w:t>
      </w:r>
      <w:r w:rsidR="00D67E19">
        <w:rPr>
          <w:rFonts w:ascii="Century Schoolbook" w:hAnsi="Century Schoolbook" w:cs="Times New Roman"/>
          <w:sz w:val="24"/>
          <w:szCs w:val="24"/>
        </w:rPr>
        <w:t xml:space="preserve">job </w:t>
      </w:r>
      <w:r w:rsidR="006C2692">
        <w:rPr>
          <w:rFonts w:ascii="Century Schoolbook" w:hAnsi="Century Schoolbook" w:cs="Times New Roman"/>
          <w:sz w:val="24"/>
          <w:szCs w:val="24"/>
        </w:rPr>
        <w:t xml:space="preserve">candidate </w:t>
      </w:r>
      <w:r w:rsidR="00F619A8" w:rsidRPr="006C6879">
        <w:rPr>
          <w:rFonts w:ascii="Century Schoolbook" w:hAnsi="Century Schoolbook" w:cs="Times New Roman"/>
          <w:sz w:val="24"/>
          <w:szCs w:val="24"/>
        </w:rPr>
        <w:t>selection</w:t>
      </w:r>
      <w:r w:rsidR="00251739">
        <w:rPr>
          <w:rStyle w:val="FootnoteReference"/>
          <w:rFonts w:ascii="Century Schoolbook" w:hAnsi="Century Schoolbook" w:cs="Times New Roman"/>
          <w:sz w:val="24"/>
          <w:szCs w:val="24"/>
        </w:rPr>
        <w:footnoteReference w:id="12"/>
      </w:r>
      <w:r w:rsidR="00F619A8" w:rsidRPr="006C6879">
        <w:rPr>
          <w:rFonts w:ascii="Century Schoolbook" w:hAnsi="Century Schoolbook" w:cs="Times New Roman"/>
          <w:sz w:val="24"/>
          <w:szCs w:val="24"/>
        </w:rPr>
        <w:t xml:space="preserve"> and </w:t>
      </w:r>
      <w:r w:rsidR="00B80EF3">
        <w:rPr>
          <w:rFonts w:ascii="Century Schoolbook" w:hAnsi="Century Schoolbook" w:cs="Times New Roman"/>
          <w:sz w:val="24"/>
          <w:szCs w:val="24"/>
        </w:rPr>
        <w:t>approval</w:t>
      </w:r>
      <w:r w:rsidR="006C2692">
        <w:rPr>
          <w:rFonts w:ascii="Century Schoolbook" w:hAnsi="Century Schoolbook" w:cs="Times New Roman"/>
          <w:sz w:val="24"/>
          <w:szCs w:val="24"/>
        </w:rPr>
        <w:t>,</w:t>
      </w:r>
      <w:r w:rsidR="00251739">
        <w:rPr>
          <w:rStyle w:val="FootnoteReference"/>
          <w:rFonts w:ascii="Century Schoolbook" w:hAnsi="Century Schoolbook" w:cs="Times New Roman"/>
          <w:sz w:val="24"/>
          <w:szCs w:val="24"/>
        </w:rPr>
        <w:footnoteReference w:id="13"/>
      </w:r>
      <w:r w:rsidR="00F619A8" w:rsidRPr="006C6879">
        <w:rPr>
          <w:rFonts w:ascii="Century Schoolbook" w:hAnsi="Century Schoolbook" w:cs="Times New Roman"/>
          <w:sz w:val="24"/>
          <w:szCs w:val="24"/>
        </w:rPr>
        <w:t xml:space="preserve"> </w:t>
      </w:r>
      <w:r w:rsidR="00D67E19">
        <w:rPr>
          <w:rFonts w:ascii="Century Schoolbook" w:hAnsi="Century Schoolbook" w:cs="Times New Roman"/>
          <w:sz w:val="24"/>
          <w:szCs w:val="24"/>
        </w:rPr>
        <w:t>which g</w:t>
      </w:r>
      <w:r w:rsidR="00C0014E">
        <w:rPr>
          <w:rFonts w:ascii="Century Schoolbook" w:hAnsi="Century Schoolbook" w:cs="Times New Roman"/>
          <w:sz w:val="24"/>
          <w:szCs w:val="24"/>
        </w:rPr>
        <w:t>iv</w:t>
      </w:r>
      <w:r w:rsidR="00D67E19">
        <w:rPr>
          <w:rFonts w:ascii="Century Schoolbook" w:hAnsi="Century Schoolbook" w:cs="Times New Roman"/>
          <w:sz w:val="24"/>
          <w:szCs w:val="24"/>
        </w:rPr>
        <w:t>e</w:t>
      </w:r>
      <w:r w:rsidR="00E452DF">
        <w:rPr>
          <w:rFonts w:ascii="Century Schoolbook" w:hAnsi="Century Schoolbook" w:cs="Times New Roman"/>
          <w:sz w:val="24"/>
          <w:szCs w:val="24"/>
        </w:rPr>
        <w:t xml:space="preserve"> </w:t>
      </w:r>
      <w:r w:rsidR="00153426">
        <w:rPr>
          <w:rFonts w:ascii="Century Schoolbook" w:hAnsi="Century Schoolbook" w:cs="Times New Roman"/>
          <w:sz w:val="24"/>
          <w:szCs w:val="24"/>
        </w:rPr>
        <w:t xml:space="preserve">him </w:t>
      </w:r>
      <w:r w:rsidR="004C3052">
        <w:rPr>
          <w:rFonts w:ascii="Century Schoolbook" w:hAnsi="Century Schoolbook" w:cs="Times New Roman"/>
          <w:sz w:val="24"/>
          <w:szCs w:val="24"/>
        </w:rPr>
        <w:t>zero</w:t>
      </w:r>
      <w:r w:rsidR="00153426">
        <w:rPr>
          <w:rFonts w:ascii="Century Schoolbook" w:hAnsi="Century Schoolbook" w:cs="Times New Roman"/>
          <w:sz w:val="24"/>
          <w:szCs w:val="24"/>
        </w:rPr>
        <w:t xml:space="preserve"> role or say</w:t>
      </w:r>
      <w:r w:rsidR="00C51BB6">
        <w:rPr>
          <w:rFonts w:ascii="Century Schoolbook" w:hAnsi="Century Schoolbook" w:cs="Times New Roman"/>
          <w:sz w:val="24"/>
          <w:szCs w:val="24"/>
        </w:rPr>
        <w:t xml:space="preserve"> in </w:t>
      </w:r>
      <w:r w:rsidR="00543166">
        <w:rPr>
          <w:rFonts w:ascii="Century Schoolbook" w:hAnsi="Century Schoolbook" w:cs="Times New Roman"/>
          <w:sz w:val="24"/>
          <w:szCs w:val="24"/>
        </w:rPr>
        <w:t>such operations and decision</w:t>
      </w:r>
      <w:r w:rsidR="00F614D8">
        <w:rPr>
          <w:rFonts w:ascii="Century Schoolbook" w:hAnsi="Century Schoolbook" w:cs="Times New Roman"/>
          <w:sz w:val="24"/>
          <w:szCs w:val="24"/>
        </w:rPr>
        <w:t>-making</w:t>
      </w:r>
      <w:r w:rsidR="00153426">
        <w:rPr>
          <w:rStyle w:val="FootnoteReference"/>
          <w:rFonts w:ascii="Century Schoolbook" w:hAnsi="Century Schoolbook" w:cs="Times New Roman"/>
          <w:sz w:val="24"/>
          <w:szCs w:val="24"/>
        </w:rPr>
        <w:footnoteReference w:id="14"/>
      </w:r>
      <w:r w:rsidR="00C02365">
        <w:rPr>
          <w:rFonts w:ascii="Century Schoolbook" w:hAnsi="Century Schoolbook" w:cs="Times New Roman"/>
          <w:sz w:val="24"/>
          <w:szCs w:val="24"/>
        </w:rPr>
        <w:t xml:space="preserve"> </w:t>
      </w:r>
      <w:r w:rsidR="008A2049">
        <w:rPr>
          <w:rFonts w:ascii="Century Schoolbook" w:hAnsi="Century Schoolbook" w:cs="Times New Roman"/>
          <w:sz w:val="24"/>
          <w:szCs w:val="24"/>
        </w:rPr>
        <w:t xml:space="preserve">– </w:t>
      </w:r>
      <w:r w:rsidR="00C51BB6">
        <w:rPr>
          <w:rFonts w:ascii="Century Schoolbook" w:hAnsi="Century Schoolbook" w:cs="Times New Roman"/>
          <w:sz w:val="24"/>
          <w:szCs w:val="24"/>
        </w:rPr>
        <w:t>and</w:t>
      </w:r>
      <w:r w:rsidR="00F619A8"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then </w:t>
      </w:r>
      <w:r w:rsidR="005F3F8F" w:rsidRPr="006C6879">
        <w:rPr>
          <w:rFonts w:ascii="Century Schoolbook" w:hAnsi="Century Schoolbook" w:cs="Times New Roman"/>
          <w:sz w:val="24"/>
          <w:szCs w:val="24"/>
        </w:rPr>
        <w:t xml:space="preserve">in </w:t>
      </w:r>
      <w:r w:rsidRPr="006C6879">
        <w:rPr>
          <w:rFonts w:ascii="Century Schoolbook" w:hAnsi="Century Schoolbook" w:cs="Times New Roman"/>
          <w:sz w:val="24"/>
          <w:szCs w:val="24"/>
        </w:rPr>
        <w:t>participating in a</w:t>
      </w:r>
      <w:r w:rsidR="00E20037">
        <w:rPr>
          <w:rFonts w:ascii="Century Schoolbook" w:hAnsi="Century Schoolbook" w:cs="Times New Roman"/>
          <w:sz w:val="24"/>
          <w:szCs w:val="24"/>
        </w:rPr>
        <w:t>n elaborate</w:t>
      </w:r>
      <w:r w:rsidRPr="006C6879">
        <w:rPr>
          <w:rFonts w:ascii="Century Schoolbook" w:hAnsi="Century Schoolbook" w:cs="Times New Roman"/>
          <w:sz w:val="24"/>
          <w:szCs w:val="24"/>
        </w:rPr>
        <w:t xml:space="preserve"> criminal </w:t>
      </w:r>
      <w:r w:rsidR="00BE6744" w:rsidRPr="006C6879">
        <w:rPr>
          <w:rFonts w:ascii="Century Schoolbook" w:hAnsi="Century Schoolbook" w:cs="Times New Roman"/>
          <w:sz w:val="24"/>
          <w:szCs w:val="24"/>
        </w:rPr>
        <w:t>cover-up</w:t>
      </w:r>
      <w:r w:rsidRPr="006C6879">
        <w:rPr>
          <w:rFonts w:ascii="Century Schoolbook" w:hAnsi="Century Schoolbook" w:cs="Times New Roman"/>
          <w:sz w:val="24"/>
          <w:szCs w:val="24"/>
        </w:rPr>
        <w:t xml:space="preserve"> of </w:t>
      </w:r>
      <w:r w:rsidR="002933F1">
        <w:rPr>
          <w:rFonts w:ascii="Century Schoolbook" w:hAnsi="Century Schoolbook" w:cs="Times New Roman"/>
          <w:sz w:val="24"/>
          <w:szCs w:val="24"/>
        </w:rPr>
        <w:t xml:space="preserve">a particular </w:t>
      </w:r>
      <w:r w:rsidR="00E20037">
        <w:rPr>
          <w:rFonts w:ascii="Century Schoolbook" w:hAnsi="Century Schoolbook" w:cs="Times New Roman"/>
          <w:sz w:val="24"/>
          <w:szCs w:val="24"/>
        </w:rPr>
        <w:t>case</w:t>
      </w:r>
      <w:r w:rsidR="00543166">
        <w:rPr>
          <w:rFonts w:ascii="Century Schoolbook" w:hAnsi="Century Schoolbook" w:cs="Times New Roman"/>
          <w:sz w:val="24"/>
          <w:szCs w:val="24"/>
        </w:rPr>
        <w:t xml:space="preserve"> </w:t>
      </w:r>
      <w:r w:rsidR="00C02365">
        <w:rPr>
          <w:rFonts w:ascii="Century Schoolbook" w:hAnsi="Century Schoolbook" w:cs="Times New Roman"/>
          <w:sz w:val="24"/>
          <w:szCs w:val="24"/>
        </w:rPr>
        <w:t xml:space="preserve">of </w:t>
      </w:r>
      <w:r w:rsidR="00B55D38" w:rsidRPr="00302CB0">
        <w:rPr>
          <w:rFonts w:ascii="Century Schoolbook" w:hAnsi="Century Schoolbook" w:cs="Times New Roman"/>
          <w:sz w:val="24"/>
          <w:szCs w:val="24"/>
        </w:rPr>
        <w:t xml:space="preserve">ethical </w:t>
      </w:r>
      <w:r w:rsidR="00B55D38" w:rsidRPr="006C6879">
        <w:rPr>
          <w:rFonts w:ascii="Century Schoolbook" w:hAnsi="Century Schoolbook" w:cs="Times New Roman"/>
          <w:sz w:val="24"/>
          <w:szCs w:val="24"/>
        </w:rPr>
        <w:t>recruitment corruption</w:t>
      </w:r>
      <w:r w:rsidR="00E452DF">
        <w:rPr>
          <w:rStyle w:val="FootnoteReference"/>
          <w:rFonts w:ascii="Century Schoolbook" w:hAnsi="Century Schoolbook" w:cs="Times New Roman"/>
          <w:sz w:val="24"/>
          <w:szCs w:val="24"/>
        </w:rPr>
        <w:footnoteReference w:id="15"/>
      </w:r>
      <w:r w:rsidR="00E452DF">
        <w:rPr>
          <w:rFonts w:ascii="Century Schoolbook" w:hAnsi="Century Schoolbook" w:cs="Times New Roman"/>
          <w:sz w:val="24"/>
          <w:szCs w:val="24"/>
        </w:rPr>
        <w:t xml:space="preserve"> in which he was centrally involved</w:t>
      </w:r>
      <w:r w:rsidR="00AC2900">
        <w:rPr>
          <w:rFonts w:ascii="Century Schoolbook" w:hAnsi="Century Schoolbook" w:cs="Times New Roman"/>
          <w:sz w:val="24"/>
          <w:szCs w:val="24"/>
        </w:rPr>
        <w:t xml:space="preserve">, </w:t>
      </w:r>
      <w:r w:rsidRPr="006C6879">
        <w:rPr>
          <w:rFonts w:ascii="Century Schoolbook" w:hAnsi="Century Schoolbook" w:cs="Times New Roman"/>
          <w:sz w:val="24"/>
          <w:szCs w:val="24"/>
        </w:rPr>
        <w:t>escalated to the Minister</w:t>
      </w:r>
      <w:r w:rsidR="00163322" w:rsidRPr="00163322">
        <w:rPr>
          <w:rFonts w:ascii="Century Schoolbook" w:hAnsi="Century Schoolbook" w:cs="Times New Roman"/>
          <w:sz w:val="24"/>
          <w:szCs w:val="24"/>
        </w:rPr>
        <w:t xml:space="preserve"> </w:t>
      </w:r>
      <w:r w:rsidR="00163322">
        <w:rPr>
          <w:rFonts w:ascii="Century Schoolbook" w:hAnsi="Century Schoolbook" w:cs="Times New Roman"/>
          <w:sz w:val="24"/>
          <w:szCs w:val="24"/>
        </w:rPr>
        <w:t xml:space="preserve">of </w:t>
      </w:r>
      <w:r w:rsidR="00163322" w:rsidRPr="006C6879">
        <w:rPr>
          <w:rFonts w:ascii="Century Schoolbook" w:hAnsi="Century Schoolbook" w:cs="Times New Roman"/>
          <w:sz w:val="24"/>
          <w:szCs w:val="24"/>
        </w:rPr>
        <w:t>Justice</w:t>
      </w:r>
      <w:r w:rsidR="00163322">
        <w:rPr>
          <w:rFonts w:ascii="Century Schoolbook" w:hAnsi="Century Schoolbook" w:cs="Times New Roman"/>
          <w:sz w:val="24"/>
          <w:szCs w:val="24"/>
        </w:rPr>
        <w:t xml:space="preserve"> and Constitutional Development</w:t>
      </w:r>
      <w:r w:rsidR="00251739">
        <w:rPr>
          <w:rFonts w:ascii="Century Schoolbook" w:hAnsi="Century Schoolbook" w:cs="Times New Roman"/>
          <w:sz w:val="24"/>
          <w:szCs w:val="24"/>
        </w:rPr>
        <w:t xml:space="preserve"> (</w:t>
      </w:r>
      <w:r w:rsidR="00251739" w:rsidRPr="00251739">
        <w:rPr>
          <w:rFonts w:ascii="Century Schoolbook" w:hAnsi="Century Schoolbook" w:cs="Times New Roman"/>
          <w:sz w:val="24"/>
          <w:szCs w:val="24"/>
        </w:rPr>
        <w:t xml:space="preserve">now </w:t>
      </w:r>
      <w:r w:rsidR="00543166">
        <w:rPr>
          <w:rFonts w:ascii="Century Schoolbook" w:hAnsi="Century Schoolbook" w:cs="Times New Roman"/>
          <w:sz w:val="24"/>
          <w:szCs w:val="24"/>
        </w:rPr>
        <w:t xml:space="preserve">the </w:t>
      </w:r>
      <w:r w:rsidR="00251739" w:rsidRPr="00251739">
        <w:rPr>
          <w:rFonts w:ascii="Century Schoolbook" w:hAnsi="Century Schoolbook" w:cs="Times New Roman"/>
          <w:sz w:val="24"/>
          <w:szCs w:val="24"/>
        </w:rPr>
        <w:t>Minister of Justice and Correctional Services</w:t>
      </w:r>
      <w:r w:rsidR="00543166">
        <w:rPr>
          <w:rFonts w:ascii="Century Schoolbook" w:hAnsi="Century Schoolbook" w:cs="Times New Roman"/>
          <w:sz w:val="24"/>
          <w:szCs w:val="24"/>
        </w:rPr>
        <w:t>, ‘the Minister’</w:t>
      </w:r>
      <w:r w:rsidR="00163322">
        <w:rPr>
          <w:rFonts w:ascii="Century Schoolbook" w:hAnsi="Century Schoolbook" w:cs="Times New Roman"/>
          <w:sz w:val="24"/>
          <w:szCs w:val="24"/>
        </w:rPr>
        <w:t>)</w:t>
      </w:r>
      <w:r w:rsidR="00BE6744" w:rsidRPr="006C6879">
        <w:rPr>
          <w:rFonts w:ascii="Century Schoolbook" w:hAnsi="Century Schoolbook" w:cs="Times New Roman"/>
          <w:sz w:val="24"/>
          <w:szCs w:val="24"/>
        </w:rPr>
        <w:t>,</w:t>
      </w:r>
      <w:r w:rsidRPr="006C6879">
        <w:rPr>
          <w:rFonts w:ascii="Century Schoolbook" w:hAnsi="Century Schoolbook" w:cs="Times New Roman"/>
          <w:sz w:val="24"/>
          <w:szCs w:val="24"/>
        </w:rPr>
        <w:t xml:space="preserve"> </w:t>
      </w:r>
      <w:r w:rsidR="005345AC" w:rsidRPr="006C6879">
        <w:rPr>
          <w:rFonts w:ascii="Century Schoolbook" w:hAnsi="Century Schoolbook" w:cs="Times New Roman"/>
          <w:sz w:val="24"/>
          <w:szCs w:val="24"/>
        </w:rPr>
        <w:t xml:space="preserve">to </w:t>
      </w:r>
      <w:r w:rsidR="002550CF" w:rsidRPr="006C6879">
        <w:rPr>
          <w:rFonts w:ascii="Century Schoolbook" w:hAnsi="Century Schoolbook" w:cs="Times New Roman"/>
          <w:sz w:val="24"/>
          <w:szCs w:val="24"/>
        </w:rPr>
        <w:t>the</w:t>
      </w:r>
      <w:r w:rsidRPr="006C6879">
        <w:rPr>
          <w:rFonts w:ascii="Century Schoolbook" w:hAnsi="Century Schoolbook" w:cs="Times New Roman"/>
          <w:sz w:val="24"/>
          <w:szCs w:val="24"/>
        </w:rPr>
        <w:t xml:space="preserve"> National Assembly</w:t>
      </w:r>
      <w:r w:rsidR="00BE6744" w:rsidRPr="006C6879">
        <w:rPr>
          <w:rFonts w:ascii="Century Schoolbook" w:hAnsi="Century Schoolbook" w:cs="Times New Roman"/>
          <w:sz w:val="24"/>
          <w:szCs w:val="24"/>
        </w:rPr>
        <w:t>, and to the courts</w:t>
      </w:r>
      <w:r w:rsidR="008A2049">
        <w:rPr>
          <w:rFonts w:ascii="Century Schoolbook" w:hAnsi="Century Schoolbook" w:cs="Times New Roman"/>
          <w:sz w:val="24"/>
          <w:szCs w:val="24"/>
        </w:rPr>
        <w:t>,</w:t>
      </w:r>
      <w:r w:rsidRPr="003F539A">
        <w:rPr>
          <w:rStyle w:val="FootnoteReference"/>
          <w:rFonts w:ascii="Century Schoolbook" w:hAnsi="Century Schoolbook" w:cs="Times New Roman"/>
          <w:sz w:val="24"/>
          <w:szCs w:val="24"/>
        </w:rPr>
        <w:footnoteReference w:id="16"/>
      </w:r>
      <w:r w:rsidR="00C02365">
        <w:rPr>
          <w:rFonts w:ascii="Century Schoolbook" w:hAnsi="Century Schoolbook" w:cs="Times New Roman"/>
          <w:sz w:val="24"/>
          <w:szCs w:val="24"/>
        </w:rPr>
        <w:t xml:space="preserve"> in a classic i</w:t>
      </w:r>
      <w:r w:rsidR="00E20037">
        <w:rPr>
          <w:rFonts w:ascii="Century Schoolbook" w:hAnsi="Century Schoolbook" w:cs="Times New Roman"/>
          <w:sz w:val="24"/>
          <w:szCs w:val="24"/>
        </w:rPr>
        <w:t>nstance</w:t>
      </w:r>
      <w:r w:rsidR="00C02365">
        <w:rPr>
          <w:rFonts w:ascii="Century Schoolbook" w:hAnsi="Century Schoolbook" w:cs="Times New Roman"/>
          <w:sz w:val="24"/>
          <w:szCs w:val="24"/>
        </w:rPr>
        <w:t xml:space="preserve"> of the multiplying dynamic of a disintegrating </w:t>
      </w:r>
      <w:r w:rsidR="00C02365">
        <w:rPr>
          <w:rFonts w:ascii="Century Schoolbook" w:hAnsi="Century Schoolbook" w:cs="Times New Roman"/>
          <w:sz w:val="24"/>
          <w:szCs w:val="24"/>
        </w:rPr>
        <w:lastRenderedPageBreak/>
        <w:t>cover-up</w:t>
      </w:r>
      <w:r w:rsidR="006313E7">
        <w:rPr>
          <w:rFonts w:ascii="Century Schoolbook" w:hAnsi="Century Schoolbook" w:cs="Times New Roman"/>
          <w:sz w:val="24"/>
          <w:szCs w:val="24"/>
        </w:rPr>
        <w:t>,</w:t>
      </w:r>
      <w:r w:rsidR="00C02365">
        <w:rPr>
          <w:rFonts w:ascii="Century Schoolbook" w:hAnsi="Century Schoolbook" w:cs="Times New Roman"/>
          <w:sz w:val="24"/>
          <w:szCs w:val="24"/>
        </w:rPr>
        <w:t xml:space="preserve"> </w:t>
      </w:r>
      <w:r w:rsidR="00482025">
        <w:rPr>
          <w:rFonts w:ascii="Century Schoolbook" w:hAnsi="Century Schoolbook" w:cs="Times New Roman"/>
          <w:sz w:val="24"/>
          <w:szCs w:val="24"/>
        </w:rPr>
        <w:t>starting with lies and</w:t>
      </w:r>
      <w:r w:rsidR="00AB7E2D" w:rsidRPr="00AB7E2D">
        <w:rPr>
          <w:rFonts w:ascii="Century Schoolbook" w:hAnsi="Century Schoolbook" w:cs="Times New Roman"/>
          <w:sz w:val="24"/>
          <w:szCs w:val="24"/>
        </w:rPr>
        <w:t xml:space="preserve"> </w:t>
      </w:r>
      <w:r w:rsidR="00AB7E2D">
        <w:rPr>
          <w:rFonts w:ascii="Century Schoolbook" w:hAnsi="Century Schoolbook" w:cs="Times New Roman"/>
          <w:sz w:val="24"/>
          <w:szCs w:val="24"/>
        </w:rPr>
        <w:t>eventually</w:t>
      </w:r>
      <w:r w:rsidR="00482025">
        <w:rPr>
          <w:rFonts w:ascii="Century Schoolbook" w:hAnsi="Century Schoolbook" w:cs="Times New Roman"/>
          <w:sz w:val="24"/>
          <w:szCs w:val="24"/>
        </w:rPr>
        <w:t xml:space="preserve"> </w:t>
      </w:r>
      <w:r w:rsidR="00AB7E2D">
        <w:rPr>
          <w:rFonts w:ascii="Century Schoolbook" w:hAnsi="Century Schoolbook" w:cs="Times New Roman"/>
          <w:sz w:val="24"/>
          <w:szCs w:val="24"/>
        </w:rPr>
        <w:t>spiralling</w:t>
      </w:r>
      <w:r w:rsidR="00D67E19">
        <w:rPr>
          <w:rFonts w:ascii="Century Schoolbook" w:hAnsi="Century Schoolbook" w:cs="Times New Roman"/>
          <w:sz w:val="24"/>
          <w:szCs w:val="24"/>
        </w:rPr>
        <w:t xml:space="preserve"> out</w:t>
      </w:r>
      <w:r w:rsidR="00EE3AF8">
        <w:rPr>
          <w:rFonts w:ascii="Century Schoolbook" w:hAnsi="Century Schoolbook" w:cs="Times New Roman"/>
          <w:sz w:val="24"/>
          <w:szCs w:val="24"/>
        </w:rPr>
        <w:t xml:space="preserve"> </w:t>
      </w:r>
      <w:r w:rsidR="00C02365">
        <w:rPr>
          <w:rFonts w:ascii="Century Schoolbook" w:hAnsi="Century Schoolbook" w:cs="Times New Roman"/>
          <w:sz w:val="24"/>
          <w:szCs w:val="24"/>
        </w:rPr>
        <w:t xml:space="preserve">into </w:t>
      </w:r>
      <w:r w:rsidR="00707B95">
        <w:rPr>
          <w:rFonts w:ascii="Century Schoolbook" w:hAnsi="Century Schoolbook" w:cs="Times New Roman"/>
          <w:sz w:val="24"/>
          <w:szCs w:val="24"/>
        </w:rPr>
        <w:t xml:space="preserve">the commission of </w:t>
      </w:r>
      <w:r w:rsidR="00C02365">
        <w:rPr>
          <w:rFonts w:ascii="Century Schoolbook" w:hAnsi="Century Schoolbook" w:cs="Times New Roman"/>
          <w:sz w:val="24"/>
          <w:szCs w:val="24"/>
        </w:rPr>
        <w:t>crime</w:t>
      </w:r>
      <w:r w:rsidR="00707B95">
        <w:rPr>
          <w:rFonts w:ascii="Century Schoolbook" w:hAnsi="Century Schoolbook" w:cs="Times New Roman"/>
          <w:sz w:val="24"/>
          <w:szCs w:val="24"/>
        </w:rPr>
        <w:t>s</w:t>
      </w:r>
      <w:r w:rsidR="00C02365">
        <w:rPr>
          <w:rFonts w:ascii="Century Schoolbook" w:hAnsi="Century Schoolbook" w:cs="Times New Roman"/>
          <w:sz w:val="24"/>
          <w:szCs w:val="24"/>
        </w:rPr>
        <w:t>.</w:t>
      </w:r>
      <w:r w:rsidR="00B80EF3" w:rsidRPr="003F539A">
        <w:rPr>
          <w:rFonts w:ascii="Century Schoolbook" w:hAnsi="Century Schoolbook" w:cs="Times New Roman"/>
          <w:sz w:val="24"/>
          <w:szCs w:val="24"/>
        </w:rPr>
        <w:t xml:space="preserve"> All this will be </w:t>
      </w:r>
      <w:r w:rsidR="004C3052">
        <w:rPr>
          <w:rFonts w:ascii="Century Schoolbook" w:hAnsi="Century Schoolbook" w:cs="Times New Roman"/>
          <w:sz w:val="24"/>
          <w:szCs w:val="24"/>
        </w:rPr>
        <w:t>clos</w:t>
      </w:r>
      <w:r w:rsidR="00C0014E">
        <w:rPr>
          <w:rFonts w:ascii="Century Schoolbook" w:hAnsi="Century Schoolbook" w:cs="Times New Roman"/>
          <w:sz w:val="24"/>
          <w:szCs w:val="24"/>
        </w:rPr>
        <w:t xml:space="preserve">ely </w:t>
      </w:r>
      <w:r w:rsidR="00B80EF3" w:rsidRPr="003F539A">
        <w:rPr>
          <w:rFonts w:ascii="Century Schoolbook" w:hAnsi="Century Schoolbook" w:cs="Times New Roman"/>
          <w:sz w:val="24"/>
          <w:szCs w:val="24"/>
        </w:rPr>
        <w:t>detailed</w:t>
      </w:r>
      <w:r w:rsidR="006C2692" w:rsidRPr="003F539A">
        <w:rPr>
          <w:rFonts w:ascii="Century Schoolbook" w:hAnsi="Century Schoolbook" w:cs="Times New Roman"/>
          <w:sz w:val="24"/>
          <w:szCs w:val="24"/>
        </w:rPr>
        <w:t xml:space="preserve"> with </w:t>
      </w:r>
      <w:r w:rsidR="007206F1">
        <w:rPr>
          <w:rFonts w:ascii="Century Schoolbook" w:hAnsi="Century Schoolbook" w:cs="Times New Roman"/>
          <w:sz w:val="24"/>
          <w:szCs w:val="24"/>
        </w:rPr>
        <w:t xml:space="preserve">reference to </w:t>
      </w:r>
      <w:r w:rsidR="006C2692" w:rsidRPr="003F539A">
        <w:rPr>
          <w:rFonts w:ascii="Century Schoolbook" w:hAnsi="Century Schoolbook" w:cs="Times New Roman"/>
          <w:sz w:val="24"/>
          <w:szCs w:val="24"/>
        </w:rPr>
        <w:t>supporting documents</w:t>
      </w:r>
      <w:r w:rsidR="00B80EF3" w:rsidRPr="003F539A">
        <w:rPr>
          <w:rFonts w:ascii="Century Schoolbook" w:hAnsi="Century Schoolbook" w:cs="Times New Roman"/>
          <w:sz w:val="24"/>
          <w:szCs w:val="24"/>
        </w:rPr>
        <w:t xml:space="preserve"> in </w:t>
      </w:r>
      <w:r w:rsidR="007206F1">
        <w:rPr>
          <w:rFonts w:ascii="Century Schoolbook" w:hAnsi="Century Schoolbook" w:cs="Times New Roman"/>
          <w:sz w:val="24"/>
          <w:szCs w:val="24"/>
        </w:rPr>
        <w:t xml:space="preserve">this and </w:t>
      </w:r>
      <w:r w:rsidR="001353E6" w:rsidRPr="003F539A">
        <w:rPr>
          <w:rFonts w:ascii="Century Schoolbook" w:hAnsi="Century Schoolbook" w:cs="Times New Roman"/>
          <w:sz w:val="24"/>
          <w:szCs w:val="24"/>
        </w:rPr>
        <w:t>other</w:t>
      </w:r>
      <w:r w:rsidR="00B80EF3" w:rsidRPr="003F539A">
        <w:rPr>
          <w:rFonts w:ascii="Century Schoolbook" w:hAnsi="Century Schoolbook" w:cs="Times New Roman"/>
          <w:sz w:val="24"/>
          <w:szCs w:val="24"/>
        </w:rPr>
        <w:t xml:space="preserve"> </w:t>
      </w:r>
      <w:r w:rsidR="007864BA">
        <w:rPr>
          <w:rFonts w:ascii="Century Schoolbook" w:hAnsi="Century Schoolbook" w:cs="Times New Roman"/>
          <w:sz w:val="24"/>
          <w:szCs w:val="24"/>
        </w:rPr>
        <w:t>p</w:t>
      </w:r>
      <w:r w:rsidR="00B80EF3" w:rsidRPr="003F539A">
        <w:rPr>
          <w:rFonts w:ascii="Century Schoolbook" w:hAnsi="Century Schoolbook" w:cs="Times New Roman"/>
          <w:sz w:val="24"/>
          <w:szCs w:val="24"/>
        </w:rPr>
        <w:t>arts of this complaint to follow.</w:t>
      </w:r>
      <w:r w:rsidR="00251739" w:rsidRPr="003F539A">
        <w:rPr>
          <w:rStyle w:val="FootnoteReference"/>
          <w:rFonts w:ascii="Century Schoolbook" w:hAnsi="Century Schoolbook" w:cs="Times New Roman"/>
          <w:sz w:val="24"/>
          <w:szCs w:val="24"/>
        </w:rPr>
        <w:footnoteReference w:id="17"/>
      </w:r>
    </w:p>
    <w:p w:rsidR="00FF41FC" w:rsidRDefault="00327BE5" w:rsidP="00FF41FC">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Over the past decade</w:t>
      </w:r>
      <w:r w:rsidR="00AE5386">
        <w:rPr>
          <w:rFonts w:ascii="Century Schoolbook" w:hAnsi="Century Schoolbook" w:cs="Times New Roman"/>
          <w:sz w:val="24"/>
          <w:szCs w:val="24"/>
        </w:rPr>
        <w:t>,</w:t>
      </w:r>
      <w:r>
        <w:rPr>
          <w:rFonts w:ascii="Century Schoolbook" w:hAnsi="Century Schoolbook" w:cs="Times New Roman"/>
          <w:sz w:val="24"/>
          <w:szCs w:val="24"/>
        </w:rPr>
        <w:t xml:space="preserve"> </w:t>
      </w:r>
      <w:r w:rsidR="007861E7">
        <w:rPr>
          <w:rFonts w:ascii="Century Schoolbook" w:hAnsi="Century Schoolbook" w:cs="Times New Roman"/>
          <w:sz w:val="24"/>
          <w:szCs w:val="24"/>
        </w:rPr>
        <w:t>LASA’s top officers</w:t>
      </w:r>
      <w:r w:rsidR="00DF17B7">
        <w:rPr>
          <w:rFonts w:ascii="Century Schoolbook" w:hAnsi="Century Schoolbook" w:cs="Times New Roman"/>
          <w:sz w:val="24"/>
          <w:szCs w:val="24"/>
        </w:rPr>
        <w:t xml:space="preserve"> </w:t>
      </w:r>
      <w:r w:rsidR="007861E7">
        <w:rPr>
          <w:rFonts w:ascii="Century Schoolbook" w:hAnsi="Century Schoolbook" w:cs="Times New Roman"/>
          <w:sz w:val="24"/>
          <w:szCs w:val="24"/>
        </w:rPr>
        <w:t xml:space="preserve">have </w:t>
      </w:r>
      <w:r w:rsidR="002A600A">
        <w:rPr>
          <w:rFonts w:ascii="Century Schoolbook" w:hAnsi="Century Schoolbook" w:cs="Times New Roman"/>
          <w:sz w:val="24"/>
          <w:szCs w:val="24"/>
        </w:rPr>
        <w:t xml:space="preserve">determinedly </w:t>
      </w:r>
      <w:r w:rsidR="007861E7">
        <w:rPr>
          <w:rFonts w:ascii="Century Schoolbook" w:hAnsi="Century Schoolbook" w:cs="Times New Roman"/>
          <w:sz w:val="24"/>
          <w:szCs w:val="24"/>
        </w:rPr>
        <w:t xml:space="preserve">obstructed </w:t>
      </w:r>
      <w:r w:rsidR="0040430C">
        <w:rPr>
          <w:rFonts w:ascii="Century Schoolbook" w:hAnsi="Century Schoolbook" w:cs="Times New Roman"/>
          <w:sz w:val="24"/>
          <w:szCs w:val="24"/>
        </w:rPr>
        <w:t xml:space="preserve">the </w:t>
      </w:r>
      <w:r w:rsidR="00FF41FC">
        <w:rPr>
          <w:rFonts w:ascii="Century Schoolbook" w:hAnsi="Century Schoolbook" w:cs="Times New Roman"/>
          <w:sz w:val="24"/>
          <w:szCs w:val="24"/>
        </w:rPr>
        <w:t xml:space="preserve">investigation </w:t>
      </w:r>
      <w:r w:rsidR="0040430C">
        <w:rPr>
          <w:rFonts w:ascii="Century Schoolbook" w:hAnsi="Century Schoolbook" w:cs="Times New Roman"/>
          <w:sz w:val="24"/>
          <w:szCs w:val="24"/>
        </w:rPr>
        <w:t xml:space="preserve">and exposure </w:t>
      </w:r>
      <w:r w:rsidR="00FF41FC">
        <w:rPr>
          <w:rFonts w:ascii="Century Schoolbook" w:hAnsi="Century Schoolbook" w:cs="Times New Roman"/>
          <w:sz w:val="24"/>
          <w:szCs w:val="24"/>
        </w:rPr>
        <w:t>of th</w:t>
      </w:r>
      <w:r w:rsidR="009D64F6">
        <w:rPr>
          <w:rFonts w:ascii="Century Schoolbook" w:hAnsi="Century Schoolbook" w:cs="Times New Roman"/>
          <w:sz w:val="24"/>
          <w:szCs w:val="24"/>
        </w:rPr>
        <w:t>eir</w:t>
      </w:r>
      <w:r w:rsidR="00FF41FC">
        <w:rPr>
          <w:rFonts w:ascii="Century Schoolbook" w:hAnsi="Century Schoolbook" w:cs="Times New Roman"/>
          <w:sz w:val="24"/>
          <w:szCs w:val="24"/>
        </w:rPr>
        <w:t xml:space="preserve"> </w:t>
      </w:r>
      <w:r w:rsidR="00707B95" w:rsidRPr="006C6879">
        <w:rPr>
          <w:rFonts w:ascii="Century Schoolbook" w:hAnsi="Century Schoolbook" w:cs="Times New Roman"/>
          <w:sz w:val="24"/>
          <w:szCs w:val="24"/>
        </w:rPr>
        <w:t>procedural</w:t>
      </w:r>
      <w:r w:rsidR="00707B95">
        <w:rPr>
          <w:rFonts w:ascii="Century Schoolbook" w:hAnsi="Century Schoolbook" w:cs="Times New Roman"/>
          <w:sz w:val="24"/>
          <w:szCs w:val="24"/>
        </w:rPr>
        <w:t xml:space="preserve">, </w:t>
      </w:r>
      <w:r w:rsidR="00707B95" w:rsidRPr="006C6879">
        <w:rPr>
          <w:rFonts w:ascii="Century Schoolbook" w:hAnsi="Century Schoolbook" w:cs="Times New Roman"/>
          <w:sz w:val="24"/>
          <w:szCs w:val="24"/>
        </w:rPr>
        <w:t xml:space="preserve">ethical </w:t>
      </w:r>
      <w:r w:rsidR="00707B95">
        <w:rPr>
          <w:rFonts w:ascii="Century Schoolbook" w:hAnsi="Century Schoolbook" w:cs="Times New Roman"/>
          <w:sz w:val="24"/>
          <w:szCs w:val="24"/>
        </w:rPr>
        <w:t xml:space="preserve">and criminal </w:t>
      </w:r>
      <w:r w:rsidR="00FF41FC">
        <w:rPr>
          <w:rFonts w:ascii="Century Schoolbook" w:hAnsi="Century Schoolbook" w:cs="Times New Roman"/>
          <w:sz w:val="24"/>
          <w:szCs w:val="24"/>
        </w:rPr>
        <w:t>corruption</w:t>
      </w:r>
      <w:r w:rsidR="00707B95" w:rsidRPr="00707B95">
        <w:rPr>
          <w:rFonts w:ascii="Century Schoolbook" w:hAnsi="Century Schoolbook" w:cs="Times New Roman"/>
          <w:sz w:val="24"/>
          <w:szCs w:val="24"/>
        </w:rPr>
        <w:t xml:space="preserve"> </w:t>
      </w:r>
      <w:r w:rsidR="007861E7">
        <w:rPr>
          <w:rFonts w:ascii="Century Schoolbook" w:hAnsi="Century Schoolbook" w:cs="Times New Roman"/>
          <w:sz w:val="24"/>
          <w:szCs w:val="24"/>
        </w:rPr>
        <w:t xml:space="preserve">by </w:t>
      </w:r>
      <w:r w:rsidR="002A600A">
        <w:rPr>
          <w:rFonts w:ascii="Century Schoolbook" w:hAnsi="Century Schoolbook" w:cs="Times New Roman"/>
          <w:sz w:val="24"/>
          <w:szCs w:val="24"/>
        </w:rPr>
        <w:t>scorning</w:t>
      </w:r>
      <w:r w:rsidR="00FF41FC">
        <w:rPr>
          <w:rFonts w:ascii="Century Schoolbook" w:hAnsi="Century Schoolbook" w:cs="Times New Roman"/>
          <w:sz w:val="24"/>
          <w:szCs w:val="24"/>
        </w:rPr>
        <w:t xml:space="preserve"> </w:t>
      </w:r>
      <w:r w:rsidR="007268ED">
        <w:rPr>
          <w:rFonts w:ascii="Century Schoolbook" w:hAnsi="Century Schoolbook" w:cs="Times New Roman"/>
          <w:sz w:val="24"/>
          <w:szCs w:val="24"/>
        </w:rPr>
        <w:t>LASA’s</w:t>
      </w:r>
      <w:r w:rsidR="00FF41FC">
        <w:rPr>
          <w:rFonts w:ascii="Century Schoolbook" w:hAnsi="Century Schoolbook" w:cs="Times New Roman"/>
          <w:sz w:val="24"/>
          <w:szCs w:val="24"/>
        </w:rPr>
        <w:t xml:space="preserve"> information transparency obligations</w:t>
      </w:r>
      <w:r w:rsidR="00AB7E2D" w:rsidRPr="00AB7E2D">
        <w:rPr>
          <w:rFonts w:ascii="Century Schoolbook" w:hAnsi="Century Schoolbook" w:cs="Times New Roman"/>
          <w:sz w:val="24"/>
          <w:szCs w:val="24"/>
        </w:rPr>
        <w:t xml:space="preserve"> </w:t>
      </w:r>
      <w:r w:rsidR="00AB7E2D">
        <w:rPr>
          <w:rFonts w:ascii="Century Schoolbook" w:hAnsi="Century Schoolbook" w:cs="Times New Roman"/>
          <w:sz w:val="24"/>
          <w:szCs w:val="24"/>
        </w:rPr>
        <w:t>imposed by section 32 of the Constitution</w:t>
      </w:r>
      <w:r w:rsidR="00FF41FC">
        <w:rPr>
          <w:rFonts w:ascii="Century Schoolbook" w:hAnsi="Century Schoolbook" w:cs="Times New Roman"/>
          <w:sz w:val="24"/>
          <w:szCs w:val="24"/>
        </w:rPr>
        <w:t xml:space="preserve">, </w:t>
      </w:r>
      <w:r w:rsidR="0022536E">
        <w:rPr>
          <w:rFonts w:ascii="Century Schoolbook" w:hAnsi="Century Schoolbook" w:cs="Times New Roman"/>
          <w:sz w:val="24"/>
          <w:szCs w:val="24"/>
        </w:rPr>
        <w:t xml:space="preserve">and </w:t>
      </w:r>
      <w:r w:rsidR="00F74647">
        <w:rPr>
          <w:rFonts w:ascii="Century Schoolbook" w:hAnsi="Century Schoolbook" w:cs="Times New Roman"/>
          <w:sz w:val="24"/>
          <w:szCs w:val="24"/>
        </w:rPr>
        <w:t xml:space="preserve">by </w:t>
      </w:r>
      <w:r w:rsidR="0022536E">
        <w:rPr>
          <w:rFonts w:ascii="Century Schoolbook" w:hAnsi="Century Schoolbook" w:cs="Times New Roman"/>
          <w:sz w:val="24"/>
          <w:szCs w:val="24"/>
        </w:rPr>
        <w:t>repeated</w:t>
      </w:r>
      <w:r w:rsidR="00707B95">
        <w:rPr>
          <w:rFonts w:ascii="Century Schoolbook" w:hAnsi="Century Schoolbook" w:cs="Times New Roman"/>
          <w:sz w:val="24"/>
          <w:szCs w:val="24"/>
        </w:rPr>
        <w:t>ly</w:t>
      </w:r>
      <w:r w:rsidR="0022536E">
        <w:rPr>
          <w:rFonts w:ascii="Century Schoolbook" w:hAnsi="Century Schoolbook" w:cs="Times New Roman"/>
          <w:sz w:val="24"/>
          <w:szCs w:val="24"/>
        </w:rPr>
        <w:t xml:space="preserve"> false</w:t>
      </w:r>
      <w:r w:rsidR="00707B95">
        <w:rPr>
          <w:rFonts w:ascii="Century Schoolbook" w:hAnsi="Century Schoolbook" w:cs="Times New Roman"/>
          <w:sz w:val="24"/>
          <w:szCs w:val="24"/>
        </w:rPr>
        <w:t>ly</w:t>
      </w:r>
      <w:r w:rsidR="0022536E">
        <w:rPr>
          <w:rFonts w:ascii="Century Schoolbook" w:hAnsi="Century Schoolbook" w:cs="Times New Roman"/>
          <w:sz w:val="24"/>
          <w:szCs w:val="24"/>
        </w:rPr>
        <w:t xml:space="preserve"> reporting</w:t>
      </w:r>
      <w:r w:rsidR="001A4050">
        <w:rPr>
          <w:rStyle w:val="FootnoteReference"/>
          <w:rFonts w:ascii="Century Schoolbook" w:hAnsi="Century Schoolbook" w:cs="Times New Roman"/>
          <w:sz w:val="24"/>
          <w:szCs w:val="24"/>
        </w:rPr>
        <w:footnoteReference w:id="18"/>
      </w:r>
      <w:r w:rsidR="0022536E">
        <w:rPr>
          <w:rFonts w:ascii="Century Schoolbook" w:hAnsi="Century Schoolbook" w:cs="Times New Roman"/>
          <w:sz w:val="24"/>
          <w:szCs w:val="24"/>
        </w:rPr>
        <w:t xml:space="preserve"> to </w:t>
      </w:r>
      <w:r w:rsidR="00AE5386">
        <w:rPr>
          <w:rFonts w:ascii="Century Schoolbook" w:hAnsi="Century Schoolbook" w:cs="Times New Roman"/>
          <w:sz w:val="24"/>
          <w:szCs w:val="24"/>
        </w:rPr>
        <w:t>e</w:t>
      </w:r>
      <w:r w:rsidR="00707B95">
        <w:rPr>
          <w:rFonts w:ascii="Century Schoolbook" w:hAnsi="Century Schoolbook" w:cs="Times New Roman"/>
          <w:sz w:val="24"/>
          <w:szCs w:val="24"/>
        </w:rPr>
        <w:t>v</w:t>
      </w:r>
      <w:r w:rsidR="00AE5386">
        <w:rPr>
          <w:rFonts w:ascii="Century Schoolbook" w:hAnsi="Century Schoolbook" w:cs="Times New Roman"/>
          <w:sz w:val="24"/>
          <w:szCs w:val="24"/>
        </w:rPr>
        <w:t>a</w:t>
      </w:r>
      <w:r w:rsidR="00707B95">
        <w:rPr>
          <w:rFonts w:ascii="Century Schoolbook" w:hAnsi="Century Schoolbook" w:cs="Times New Roman"/>
          <w:sz w:val="24"/>
          <w:szCs w:val="24"/>
        </w:rPr>
        <w:t>d</w:t>
      </w:r>
      <w:r w:rsidR="00AE5386">
        <w:rPr>
          <w:rFonts w:ascii="Century Schoolbook" w:hAnsi="Century Schoolbook" w:cs="Times New Roman"/>
          <w:sz w:val="24"/>
          <w:szCs w:val="24"/>
        </w:rPr>
        <w:t>e</w:t>
      </w:r>
      <w:r w:rsidR="00707B95">
        <w:rPr>
          <w:rFonts w:ascii="Century Schoolbook" w:hAnsi="Century Schoolbook" w:cs="Times New Roman"/>
          <w:sz w:val="24"/>
          <w:szCs w:val="24"/>
        </w:rPr>
        <w:t xml:space="preserve"> being held to account for it</w:t>
      </w:r>
      <w:r w:rsidR="0040430C">
        <w:rPr>
          <w:rFonts w:ascii="Century Schoolbook" w:hAnsi="Century Schoolbook" w:cs="Times New Roman"/>
          <w:sz w:val="24"/>
          <w:szCs w:val="24"/>
        </w:rPr>
        <w:t>;</w:t>
      </w:r>
      <w:r w:rsidR="0022536E">
        <w:rPr>
          <w:rStyle w:val="FootnoteReference"/>
          <w:rFonts w:ascii="Century Schoolbook" w:hAnsi="Century Schoolbook" w:cs="Times New Roman"/>
          <w:sz w:val="24"/>
          <w:szCs w:val="24"/>
        </w:rPr>
        <w:footnoteReference w:id="19"/>
      </w:r>
      <w:r w:rsidR="0022536E">
        <w:rPr>
          <w:rFonts w:ascii="Century Schoolbook" w:hAnsi="Century Schoolbook" w:cs="Times New Roman"/>
          <w:sz w:val="24"/>
          <w:szCs w:val="24"/>
        </w:rPr>
        <w:t xml:space="preserve"> </w:t>
      </w:r>
      <w:r w:rsidR="007268ED">
        <w:rPr>
          <w:rFonts w:ascii="Century Schoolbook" w:hAnsi="Century Schoolbook" w:cs="Times New Roman"/>
          <w:sz w:val="24"/>
          <w:szCs w:val="24"/>
        </w:rPr>
        <w:t xml:space="preserve">and </w:t>
      </w:r>
      <w:r w:rsidR="002016C4">
        <w:rPr>
          <w:rFonts w:ascii="Century Schoolbook" w:hAnsi="Century Schoolbook" w:cs="Times New Roman"/>
          <w:sz w:val="24"/>
          <w:szCs w:val="24"/>
        </w:rPr>
        <w:t xml:space="preserve">then, </w:t>
      </w:r>
      <w:r w:rsidR="002A600A">
        <w:rPr>
          <w:rFonts w:ascii="Century Schoolbook" w:hAnsi="Century Schoolbook" w:cs="Times New Roman"/>
          <w:sz w:val="24"/>
          <w:szCs w:val="24"/>
        </w:rPr>
        <w:t>as</w:t>
      </w:r>
      <w:r w:rsidR="002016C4">
        <w:rPr>
          <w:rFonts w:ascii="Century Schoolbook" w:hAnsi="Century Schoolbook" w:cs="Times New Roman"/>
          <w:sz w:val="24"/>
          <w:szCs w:val="24"/>
        </w:rPr>
        <w:t xml:space="preserve"> this passive obstruction </w:t>
      </w:r>
      <w:r w:rsidR="005D17C6">
        <w:rPr>
          <w:rFonts w:ascii="Century Schoolbook" w:hAnsi="Century Schoolbook" w:cs="Times New Roman"/>
          <w:sz w:val="24"/>
          <w:szCs w:val="24"/>
        </w:rPr>
        <w:t xml:space="preserve">strategy </w:t>
      </w:r>
      <w:r w:rsidR="002016C4">
        <w:rPr>
          <w:rFonts w:ascii="Century Schoolbook" w:hAnsi="Century Schoolbook" w:cs="Times New Roman"/>
          <w:sz w:val="24"/>
          <w:szCs w:val="24"/>
        </w:rPr>
        <w:t xml:space="preserve">was failing, </w:t>
      </w:r>
      <w:r w:rsidR="007268ED">
        <w:rPr>
          <w:rFonts w:ascii="Century Schoolbook" w:hAnsi="Century Schoolbook" w:cs="Times New Roman"/>
          <w:sz w:val="24"/>
          <w:szCs w:val="24"/>
        </w:rPr>
        <w:t xml:space="preserve">by endeavouring to </w:t>
      </w:r>
      <w:r w:rsidR="002A600A">
        <w:rPr>
          <w:rFonts w:ascii="Century Schoolbook" w:hAnsi="Century Schoolbook" w:cs="Times New Roman"/>
          <w:sz w:val="24"/>
          <w:szCs w:val="24"/>
        </w:rPr>
        <w:t>end</w:t>
      </w:r>
      <w:r w:rsidR="007268ED">
        <w:rPr>
          <w:rFonts w:ascii="Century Schoolbook" w:hAnsi="Century Schoolbook" w:cs="Times New Roman"/>
          <w:sz w:val="24"/>
          <w:szCs w:val="24"/>
        </w:rPr>
        <w:t xml:space="preserve"> the investigat</w:t>
      </w:r>
      <w:r w:rsidR="002016C4">
        <w:rPr>
          <w:rFonts w:ascii="Century Schoolbook" w:hAnsi="Century Schoolbook" w:cs="Times New Roman"/>
          <w:sz w:val="24"/>
          <w:szCs w:val="24"/>
        </w:rPr>
        <w:t>ion</w:t>
      </w:r>
      <w:r w:rsidR="0022536E">
        <w:rPr>
          <w:rFonts w:ascii="Century Schoolbook" w:hAnsi="Century Schoolbook" w:cs="Times New Roman"/>
          <w:sz w:val="24"/>
          <w:szCs w:val="24"/>
        </w:rPr>
        <w:t xml:space="preserve"> with </w:t>
      </w:r>
      <w:r w:rsidR="00AB7E2D">
        <w:rPr>
          <w:rFonts w:ascii="Century Schoolbook" w:hAnsi="Century Schoolbook" w:cs="Times New Roman"/>
          <w:sz w:val="24"/>
          <w:szCs w:val="24"/>
        </w:rPr>
        <w:t xml:space="preserve">a </w:t>
      </w:r>
      <w:r w:rsidR="0022536E">
        <w:rPr>
          <w:rFonts w:ascii="Century Schoolbook" w:hAnsi="Century Schoolbook" w:cs="Times New Roman"/>
          <w:sz w:val="24"/>
          <w:szCs w:val="24"/>
        </w:rPr>
        <w:t>multi</w:t>
      </w:r>
      <w:r w:rsidR="002016C4">
        <w:rPr>
          <w:rFonts w:ascii="Century Schoolbook" w:hAnsi="Century Schoolbook" w:cs="Times New Roman"/>
          <w:sz w:val="24"/>
          <w:szCs w:val="24"/>
        </w:rPr>
        <w:noBreakHyphen/>
      </w:r>
      <w:r w:rsidR="0022536E">
        <w:rPr>
          <w:rFonts w:ascii="Century Schoolbook" w:hAnsi="Century Schoolbook" w:cs="Times New Roman"/>
          <w:sz w:val="24"/>
          <w:szCs w:val="24"/>
        </w:rPr>
        <w:t>pronged attack</w:t>
      </w:r>
      <w:r w:rsidR="00707B95">
        <w:rPr>
          <w:rFonts w:ascii="Century Schoolbook" w:hAnsi="Century Schoolbook" w:cs="Times New Roman"/>
          <w:sz w:val="24"/>
          <w:szCs w:val="24"/>
        </w:rPr>
        <w:t xml:space="preserve"> </w:t>
      </w:r>
      <w:r w:rsidR="009D64F6">
        <w:rPr>
          <w:rFonts w:ascii="Century Schoolbook" w:hAnsi="Century Schoolbook" w:cs="Times New Roman"/>
          <w:sz w:val="24"/>
          <w:szCs w:val="24"/>
        </w:rPr>
        <w:t>to neutrali</w:t>
      </w:r>
      <w:r w:rsidR="00762D1B">
        <w:rPr>
          <w:rFonts w:ascii="Century Schoolbook" w:hAnsi="Century Schoolbook" w:cs="Times New Roman"/>
          <w:sz w:val="24"/>
          <w:szCs w:val="24"/>
        </w:rPr>
        <w:t>s</w:t>
      </w:r>
      <w:r w:rsidR="009D64F6">
        <w:rPr>
          <w:rFonts w:ascii="Century Schoolbook" w:hAnsi="Century Schoolbook" w:cs="Times New Roman"/>
          <w:sz w:val="24"/>
          <w:szCs w:val="24"/>
        </w:rPr>
        <w:t>e</w:t>
      </w:r>
      <w:r w:rsidR="00707B95">
        <w:rPr>
          <w:rFonts w:ascii="Century Schoolbook" w:hAnsi="Century Schoolbook" w:cs="Times New Roman"/>
          <w:sz w:val="24"/>
          <w:szCs w:val="24"/>
        </w:rPr>
        <w:t xml:space="preserve"> th</w:t>
      </w:r>
      <w:r w:rsidR="00AB7E2D">
        <w:rPr>
          <w:rFonts w:ascii="Century Schoolbook" w:hAnsi="Century Schoolbook" w:cs="Times New Roman"/>
          <w:sz w:val="24"/>
          <w:szCs w:val="24"/>
        </w:rPr>
        <w:t>is</w:t>
      </w:r>
      <w:r w:rsidR="00707B95" w:rsidRPr="00707B95">
        <w:rPr>
          <w:rFonts w:ascii="Century Schoolbook" w:hAnsi="Century Schoolbook" w:cs="Times New Roman"/>
          <w:sz w:val="24"/>
          <w:szCs w:val="24"/>
        </w:rPr>
        <w:t xml:space="preserve"> </w:t>
      </w:r>
      <w:r w:rsidR="00707B95">
        <w:rPr>
          <w:rFonts w:ascii="Century Schoolbook" w:hAnsi="Century Schoolbook" w:cs="Times New Roman"/>
          <w:sz w:val="24"/>
          <w:szCs w:val="24"/>
        </w:rPr>
        <w:t>investigator</w:t>
      </w:r>
      <w:r w:rsidR="0022536E">
        <w:rPr>
          <w:rFonts w:ascii="Century Schoolbook" w:hAnsi="Century Schoolbook" w:cs="Times New Roman"/>
          <w:sz w:val="24"/>
          <w:szCs w:val="24"/>
        </w:rPr>
        <w:t xml:space="preserve"> </w:t>
      </w:r>
      <w:r w:rsidR="007268ED">
        <w:rPr>
          <w:rFonts w:ascii="Century Schoolbook" w:hAnsi="Century Schoolbook" w:cs="Times New Roman"/>
          <w:sz w:val="24"/>
          <w:szCs w:val="24"/>
        </w:rPr>
        <w:t xml:space="preserve">by moving to destroy </w:t>
      </w:r>
      <w:r w:rsidR="00707B95">
        <w:rPr>
          <w:rFonts w:ascii="Century Schoolbook" w:hAnsi="Century Schoolbook" w:cs="Times New Roman"/>
          <w:sz w:val="24"/>
          <w:szCs w:val="24"/>
        </w:rPr>
        <w:t xml:space="preserve">him </w:t>
      </w:r>
      <w:r w:rsidR="007268ED">
        <w:rPr>
          <w:rFonts w:ascii="Century Schoolbook" w:hAnsi="Century Schoolbook" w:cs="Times New Roman"/>
          <w:sz w:val="24"/>
          <w:szCs w:val="24"/>
        </w:rPr>
        <w:t xml:space="preserve">professionally, strangle him financially, and </w:t>
      </w:r>
      <w:r w:rsidR="00550733">
        <w:rPr>
          <w:rFonts w:ascii="Century Schoolbook" w:hAnsi="Century Schoolbook" w:cs="Times New Roman"/>
          <w:sz w:val="24"/>
          <w:szCs w:val="24"/>
        </w:rPr>
        <w:t xml:space="preserve">have him </w:t>
      </w:r>
      <w:r w:rsidR="00707B95">
        <w:rPr>
          <w:rFonts w:ascii="Century Schoolbook" w:hAnsi="Century Schoolbook" w:cs="Times New Roman"/>
          <w:sz w:val="24"/>
          <w:szCs w:val="24"/>
        </w:rPr>
        <w:t>depriv</w:t>
      </w:r>
      <w:r w:rsidR="00550733">
        <w:rPr>
          <w:rFonts w:ascii="Century Schoolbook" w:hAnsi="Century Schoolbook" w:cs="Times New Roman"/>
          <w:sz w:val="24"/>
          <w:szCs w:val="24"/>
        </w:rPr>
        <w:t>ed of</w:t>
      </w:r>
      <w:r w:rsidR="00BE1672">
        <w:rPr>
          <w:rFonts w:ascii="Century Schoolbook" w:hAnsi="Century Schoolbook" w:cs="Times New Roman"/>
          <w:sz w:val="24"/>
          <w:szCs w:val="24"/>
        </w:rPr>
        <w:t xml:space="preserve"> </w:t>
      </w:r>
      <w:r w:rsidR="007268ED">
        <w:rPr>
          <w:rFonts w:ascii="Century Schoolbook" w:hAnsi="Century Schoolbook" w:cs="Times New Roman"/>
          <w:sz w:val="24"/>
          <w:szCs w:val="24"/>
        </w:rPr>
        <w:t xml:space="preserve">his </w:t>
      </w:r>
      <w:r w:rsidR="0033508F">
        <w:rPr>
          <w:rFonts w:ascii="Century Schoolbook" w:hAnsi="Century Schoolbook" w:cs="Times New Roman"/>
          <w:sz w:val="24"/>
          <w:szCs w:val="24"/>
        </w:rPr>
        <w:t xml:space="preserve">essential </w:t>
      </w:r>
      <w:r w:rsidR="007268ED">
        <w:rPr>
          <w:rFonts w:ascii="Century Schoolbook" w:hAnsi="Century Schoolbook" w:cs="Times New Roman"/>
          <w:sz w:val="24"/>
          <w:szCs w:val="24"/>
        </w:rPr>
        <w:t>basic civil rights</w:t>
      </w:r>
      <w:r w:rsidR="00550733" w:rsidRPr="00550733">
        <w:rPr>
          <w:rFonts w:ascii="Century Schoolbook" w:hAnsi="Century Schoolbook" w:cs="Times New Roman"/>
          <w:sz w:val="24"/>
          <w:szCs w:val="24"/>
        </w:rPr>
        <w:t xml:space="preserve"> </w:t>
      </w:r>
      <w:r w:rsidR="00550733">
        <w:rPr>
          <w:rFonts w:ascii="Century Schoolbook" w:hAnsi="Century Schoolbook" w:cs="Times New Roman"/>
          <w:sz w:val="24"/>
          <w:szCs w:val="24"/>
        </w:rPr>
        <w:t xml:space="preserve">guaranteed </w:t>
      </w:r>
      <w:r w:rsidR="00550733">
        <w:rPr>
          <w:rFonts w:ascii="Century Schoolbook" w:hAnsi="Century Schoolbook" w:cs="Times New Roman"/>
          <w:sz w:val="24"/>
          <w:szCs w:val="24"/>
        </w:rPr>
        <w:lastRenderedPageBreak/>
        <w:t>and entrenched by sections 32 and 34 of the Constitution</w:t>
      </w:r>
      <w:r w:rsidR="009D64F6">
        <w:rPr>
          <w:rFonts w:ascii="Century Schoolbook" w:hAnsi="Century Schoolbook" w:cs="Times New Roman"/>
          <w:sz w:val="24"/>
          <w:szCs w:val="24"/>
        </w:rPr>
        <w:t>, i.e.</w:t>
      </w:r>
      <w:r w:rsidR="007268ED">
        <w:rPr>
          <w:rFonts w:ascii="Century Schoolbook" w:hAnsi="Century Schoolbook" w:cs="Times New Roman"/>
          <w:sz w:val="24"/>
          <w:szCs w:val="24"/>
        </w:rPr>
        <w:t xml:space="preserve"> to </w:t>
      </w:r>
      <w:r w:rsidR="002A600A">
        <w:rPr>
          <w:rFonts w:ascii="Century Schoolbook" w:hAnsi="Century Schoolbook" w:cs="Times New Roman"/>
          <w:sz w:val="24"/>
          <w:szCs w:val="24"/>
        </w:rPr>
        <w:t xml:space="preserve">access </w:t>
      </w:r>
      <w:r w:rsidR="007268ED">
        <w:rPr>
          <w:rFonts w:ascii="Century Schoolbook" w:hAnsi="Century Schoolbook" w:cs="Times New Roman"/>
          <w:sz w:val="24"/>
          <w:szCs w:val="24"/>
        </w:rPr>
        <w:t xml:space="preserve">information </w:t>
      </w:r>
      <w:r w:rsidR="005D17C6">
        <w:rPr>
          <w:rFonts w:ascii="Century Schoolbook" w:hAnsi="Century Schoolbook" w:cs="Times New Roman"/>
          <w:sz w:val="24"/>
          <w:szCs w:val="24"/>
        </w:rPr>
        <w:t xml:space="preserve">held by the state </w:t>
      </w:r>
      <w:r w:rsidR="007268ED">
        <w:rPr>
          <w:rFonts w:ascii="Century Schoolbook" w:hAnsi="Century Schoolbook" w:cs="Times New Roman"/>
          <w:sz w:val="24"/>
          <w:szCs w:val="24"/>
        </w:rPr>
        <w:t>and to</w:t>
      </w:r>
      <w:r w:rsidR="0088425B" w:rsidRPr="0088425B">
        <w:rPr>
          <w:rFonts w:ascii="Century Schoolbook" w:hAnsi="Century Schoolbook" w:cs="Times New Roman"/>
          <w:sz w:val="24"/>
          <w:szCs w:val="24"/>
        </w:rPr>
        <w:t xml:space="preserve"> </w:t>
      </w:r>
      <w:r w:rsidR="00FE6F22">
        <w:rPr>
          <w:rFonts w:ascii="Century Schoolbook" w:hAnsi="Century Schoolbook" w:cs="Times New Roman"/>
          <w:sz w:val="24"/>
          <w:szCs w:val="24"/>
        </w:rPr>
        <w:t xml:space="preserve">approach the courts </w:t>
      </w:r>
      <w:r w:rsidR="0088425B">
        <w:rPr>
          <w:rFonts w:ascii="Century Schoolbook" w:hAnsi="Century Schoolbook" w:cs="Times New Roman"/>
          <w:sz w:val="24"/>
          <w:szCs w:val="24"/>
        </w:rPr>
        <w:t xml:space="preserve">to </w:t>
      </w:r>
      <w:r w:rsidR="005D17C6">
        <w:rPr>
          <w:rFonts w:ascii="Century Schoolbook" w:hAnsi="Century Schoolbook" w:cs="Times New Roman"/>
          <w:sz w:val="24"/>
          <w:szCs w:val="24"/>
        </w:rPr>
        <w:t xml:space="preserve">compel its production </w:t>
      </w:r>
      <w:r w:rsidR="007268ED">
        <w:rPr>
          <w:rFonts w:ascii="Century Schoolbook" w:hAnsi="Century Schoolbook" w:cs="Times New Roman"/>
          <w:sz w:val="24"/>
          <w:szCs w:val="24"/>
        </w:rPr>
        <w:t xml:space="preserve">when </w:t>
      </w:r>
      <w:r w:rsidR="00AB7E2D">
        <w:rPr>
          <w:rFonts w:ascii="Century Schoolbook" w:hAnsi="Century Schoolbook" w:cs="Times New Roman"/>
          <w:sz w:val="24"/>
          <w:szCs w:val="24"/>
        </w:rPr>
        <w:t xml:space="preserve">in a corruption cover-up </w:t>
      </w:r>
      <w:r>
        <w:rPr>
          <w:rFonts w:ascii="Century Schoolbook" w:hAnsi="Century Schoolbook" w:cs="Times New Roman"/>
          <w:sz w:val="24"/>
          <w:szCs w:val="24"/>
        </w:rPr>
        <w:t xml:space="preserve">it’s </w:t>
      </w:r>
      <w:r w:rsidR="0022536E">
        <w:rPr>
          <w:rFonts w:ascii="Century Schoolbook" w:hAnsi="Century Schoolbook" w:cs="Times New Roman"/>
          <w:sz w:val="24"/>
          <w:szCs w:val="24"/>
        </w:rPr>
        <w:t>illegally and unconstitutionally</w:t>
      </w:r>
      <w:r w:rsidR="001A4050">
        <w:rPr>
          <w:rFonts w:ascii="Century Schoolbook" w:hAnsi="Century Schoolbook" w:cs="Times New Roman"/>
          <w:sz w:val="24"/>
          <w:szCs w:val="24"/>
        </w:rPr>
        <w:t xml:space="preserve"> </w:t>
      </w:r>
      <w:r w:rsidR="009D64F6">
        <w:rPr>
          <w:rFonts w:ascii="Century Schoolbook" w:hAnsi="Century Schoolbook" w:cs="Times New Roman"/>
          <w:sz w:val="24"/>
          <w:szCs w:val="24"/>
        </w:rPr>
        <w:t>suppressed</w:t>
      </w:r>
      <w:r w:rsidR="005D17C6">
        <w:rPr>
          <w:rFonts w:ascii="Century Schoolbook" w:hAnsi="Century Schoolbook" w:cs="Times New Roman"/>
          <w:sz w:val="24"/>
          <w:szCs w:val="24"/>
        </w:rPr>
        <w:t>.</w:t>
      </w:r>
      <w:r w:rsidR="007268ED">
        <w:rPr>
          <w:rStyle w:val="FootnoteReference"/>
          <w:rFonts w:ascii="Century Schoolbook" w:hAnsi="Century Schoolbook" w:cs="Times New Roman"/>
          <w:sz w:val="24"/>
          <w:szCs w:val="24"/>
        </w:rPr>
        <w:footnoteReference w:id="20"/>
      </w:r>
      <w:r w:rsidR="00550733">
        <w:rPr>
          <w:rFonts w:ascii="Century Schoolbook" w:hAnsi="Century Schoolbook" w:cs="Times New Roman"/>
          <w:sz w:val="24"/>
          <w:szCs w:val="24"/>
        </w:rPr>
        <w:t xml:space="preserve"> </w:t>
      </w:r>
    </w:p>
    <w:p w:rsidR="00B61554" w:rsidRPr="006C6879" w:rsidRDefault="00FB47EF" w:rsidP="00B61554">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D</w:t>
      </w:r>
      <w:r w:rsidRPr="006C6879">
        <w:rPr>
          <w:rFonts w:ascii="Century Schoolbook" w:hAnsi="Century Schoolbook" w:cs="Times New Roman"/>
          <w:sz w:val="24"/>
          <w:szCs w:val="24"/>
        </w:rPr>
        <w:t>etailed and vouched in this complaint</w:t>
      </w:r>
      <w:r>
        <w:rPr>
          <w:rFonts w:ascii="Century Schoolbook" w:hAnsi="Century Schoolbook" w:cs="Times New Roman"/>
          <w:sz w:val="24"/>
          <w:szCs w:val="24"/>
        </w:rPr>
        <w:t>, t</w:t>
      </w:r>
      <w:r w:rsidR="00B61554" w:rsidRPr="006C6879">
        <w:rPr>
          <w:rFonts w:ascii="Century Schoolbook" w:hAnsi="Century Schoolbook" w:cs="Times New Roman"/>
          <w:sz w:val="24"/>
          <w:szCs w:val="24"/>
        </w:rPr>
        <w:t xml:space="preserve">he </w:t>
      </w:r>
      <w:r w:rsidR="00F74647" w:rsidRPr="006C6879">
        <w:rPr>
          <w:rFonts w:ascii="Century Schoolbook" w:hAnsi="Century Schoolbook" w:cs="Times New Roman"/>
          <w:sz w:val="24"/>
          <w:szCs w:val="24"/>
        </w:rPr>
        <w:t>continuing</w:t>
      </w:r>
      <w:r w:rsidR="00F74647">
        <w:rPr>
          <w:rFonts w:ascii="Century Schoolbook" w:hAnsi="Century Schoolbook" w:cs="Times New Roman"/>
          <w:sz w:val="24"/>
          <w:szCs w:val="24"/>
        </w:rPr>
        <w:t xml:space="preserve"> </w:t>
      </w:r>
      <w:r w:rsidR="005D17C6">
        <w:rPr>
          <w:rFonts w:ascii="Century Schoolbook" w:hAnsi="Century Schoolbook" w:cs="Times New Roman"/>
          <w:sz w:val="24"/>
          <w:szCs w:val="24"/>
        </w:rPr>
        <w:t xml:space="preserve">pervasive, </w:t>
      </w:r>
      <w:r w:rsidR="0094756E">
        <w:rPr>
          <w:rFonts w:ascii="Century Schoolbook" w:hAnsi="Century Schoolbook" w:cs="Times New Roman"/>
          <w:sz w:val="24"/>
          <w:szCs w:val="24"/>
        </w:rPr>
        <w:t xml:space="preserve">systemic </w:t>
      </w:r>
      <w:r w:rsidR="00B61554" w:rsidRPr="006C6879">
        <w:rPr>
          <w:rFonts w:ascii="Century Schoolbook" w:hAnsi="Century Schoolbook" w:cs="Times New Roman"/>
          <w:sz w:val="24"/>
          <w:szCs w:val="24"/>
        </w:rPr>
        <w:t>corruption</w:t>
      </w:r>
      <w:r w:rsidR="00145220" w:rsidRPr="00145220">
        <w:rPr>
          <w:rFonts w:ascii="Century Schoolbook" w:hAnsi="Century Schoolbook" w:cs="Times New Roman"/>
          <w:sz w:val="24"/>
          <w:szCs w:val="24"/>
        </w:rPr>
        <w:t xml:space="preserve"> </w:t>
      </w:r>
      <w:r w:rsidR="003E06FE">
        <w:rPr>
          <w:rFonts w:ascii="Century Schoolbook" w:hAnsi="Century Schoolbook" w:cs="Times New Roman"/>
          <w:sz w:val="24"/>
          <w:szCs w:val="24"/>
        </w:rPr>
        <w:t>in LASA’s top echelons</w:t>
      </w:r>
      <w:r w:rsidR="005D17C6">
        <w:rPr>
          <w:rFonts w:ascii="Century Schoolbook" w:hAnsi="Century Schoolbook" w:cs="Times New Roman"/>
          <w:sz w:val="24"/>
          <w:szCs w:val="24"/>
        </w:rPr>
        <w:t xml:space="preserve"> </w:t>
      </w:r>
      <w:r w:rsidR="00B61554" w:rsidRPr="006C6879">
        <w:rPr>
          <w:rFonts w:ascii="Century Schoolbook" w:hAnsi="Century Schoolbook" w:cs="Times New Roman"/>
          <w:sz w:val="24"/>
          <w:szCs w:val="24"/>
        </w:rPr>
        <w:t>has metastasi</w:t>
      </w:r>
      <w:r w:rsidR="00762D1B">
        <w:rPr>
          <w:rFonts w:ascii="Century Schoolbook" w:hAnsi="Century Schoolbook" w:cs="Times New Roman"/>
          <w:sz w:val="24"/>
          <w:szCs w:val="24"/>
        </w:rPr>
        <w:t>z</w:t>
      </w:r>
      <w:r w:rsidR="00B61554" w:rsidRPr="006C6879">
        <w:rPr>
          <w:rFonts w:ascii="Century Schoolbook" w:hAnsi="Century Schoolbook" w:cs="Times New Roman"/>
          <w:sz w:val="24"/>
          <w:szCs w:val="24"/>
        </w:rPr>
        <w:t xml:space="preserve">ed </w:t>
      </w:r>
      <w:r w:rsidR="007A205F" w:rsidRPr="006C6879">
        <w:rPr>
          <w:rFonts w:ascii="Century Schoolbook" w:hAnsi="Century Schoolbook" w:cs="Times New Roman"/>
          <w:sz w:val="24"/>
          <w:szCs w:val="24"/>
        </w:rPr>
        <w:t xml:space="preserve">through </w:t>
      </w:r>
      <w:r w:rsidR="00B61554" w:rsidRPr="006C6879">
        <w:rPr>
          <w:rFonts w:ascii="Century Schoolbook" w:hAnsi="Century Schoolbook" w:cs="Times New Roman"/>
          <w:sz w:val="24"/>
          <w:szCs w:val="24"/>
        </w:rPr>
        <w:t xml:space="preserve">virtually the </w:t>
      </w:r>
      <w:r w:rsidR="006C2692">
        <w:rPr>
          <w:rFonts w:ascii="Century Schoolbook" w:hAnsi="Century Schoolbook" w:cs="Times New Roman"/>
          <w:sz w:val="24"/>
          <w:szCs w:val="24"/>
        </w:rPr>
        <w:t xml:space="preserve">entire </w:t>
      </w:r>
      <w:r w:rsidR="00B61554" w:rsidRPr="006C6879">
        <w:rPr>
          <w:rFonts w:ascii="Century Schoolbook" w:hAnsi="Century Schoolbook" w:cs="Times New Roman"/>
          <w:sz w:val="24"/>
          <w:szCs w:val="24"/>
        </w:rPr>
        <w:t>governing</w:t>
      </w:r>
      <w:r>
        <w:rPr>
          <w:rFonts w:ascii="Century Schoolbook" w:hAnsi="Century Schoolbook" w:cs="Times New Roman"/>
          <w:sz w:val="24"/>
          <w:szCs w:val="24"/>
        </w:rPr>
        <w:t>-</w:t>
      </w:r>
      <w:r w:rsidR="00B61554" w:rsidRPr="006C6879">
        <w:rPr>
          <w:rFonts w:ascii="Century Schoolbook" w:hAnsi="Century Schoolbook" w:cs="Times New Roman"/>
          <w:sz w:val="24"/>
          <w:szCs w:val="24"/>
        </w:rPr>
        <w:t xml:space="preserve"> and national management structure</w:t>
      </w:r>
      <w:r>
        <w:rPr>
          <w:rFonts w:ascii="Century Schoolbook" w:hAnsi="Century Schoolbook" w:cs="Times New Roman"/>
          <w:sz w:val="24"/>
          <w:szCs w:val="24"/>
        </w:rPr>
        <w:t xml:space="preserve">s, with </w:t>
      </w:r>
      <w:r w:rsidR="003E06FE">
        <w:rPr>
          <w:rFonts w:ascii="Century Schoolbook" w:hAnsi="Century Schoolbook" w:cs="Times New Roman"/>
          <w:sz w:val="24"/>
          <w:szCs w:val="24"/>
        </w:rPr>
        <w:t>audacious</w:t>
      </w:r>
      <w:r w:rsidR="00AB7E2D">
        <w:rPr>
          <w:rFonts w:ascii="Century Schoolbook" w:hAnsi="Century Schoolbook" w:cs="Times New Roman"/>
          <w:sz w:val="24"/>
          <w:szCs w:val="24"/>
        </w:rPr>
        <w:t>, confident,</w:t>
      </w:r>
      <w:r w:rsidR="003E06FE">
        <w:rPr>
          <w:rFonts w:ascii="Century Schoolbook" w:hAnsi="Century Schoolbook" w:cs="Times New Roman"/>
          <w:sz w:val="24"/>
          <w:szCs w:val="24"/>
        </w:rPr>
        <w:t xml:space="preserve"> </w:t>
      </w:r>
      <w:r w:rsidR="00221069">
        <w:rPr>
          <w:rFonts w:ascii="Century Schoolbook" w:hAnsi="Century Schoolbook" w:cs="Times New Roman"/>
          <w:sz w:val="24"/>
          <w:szCs w:val="24"/>
        </w:rPr>
        <w:t>high</w:t>
      </w:r>
      <w:r w:rsidR="003E06FE">
        <w:rPr>
          <w:rFonts w:ascii="Century Schoolbook" w:hAnsi="Century Schoolbook" w:cs="Times New Roman"/>
          <w:sz w:val="24"/>
          <w:szCs w:val="24"/>
        </w:rPr>
        <w:t>-</w:t>
      </w:r>
      <w:r w:rsidR="00221069">
        <w:rPr>
          <w:rFonts w:ascii="Century Schoolbook" w:hAnsi="Century Schoolbook" w:cs="Times New Roman"/>
          <w:sz w:val="24"/>
          <w:szCs w:val="24"/>
        </w:rPr>
        <w:t>toned</w:t>
      </w:r>
      <w:r w:rsidR="00AB7E2D">
        <w:rPr>
          <w:rFonts w:ascii="Century Schoolbook" w:hAnsi="Century Schoolbook" w:cs="Times New Roman"/>
          <w:sz w:val="24"/>
          <w:szCs w:val="24"/>
        </w:rPr>
        <w:t>, practised lawyerly</w:t>
      </w:r>
      <w:r w:rsidR="00F74647">
        <w:rPr>
          <w:rFonts w:ascii="Century Schoolbook" w:hAnsi="Century Schoolbook" w:cs="Times New Roman"/>
          <w:sz w:val="24"/>
          <w:szCs w:val="24"/>
        </w:rPr>
        <w:t xml:space="preserve"> </w:t>
      </w:r>
      <w:r w:rsidR="00221069">
        <w:rPr>
          <w:rFonts w:ascii="Century Schoolbook" w:hAnsi="Century Schoolbook" w:cs="Times New Roman"/>
          <w:sz w:val="24"/>
          <w:szCs w:val="24"/>
        </w:rPr>
        <w:t>mendacity</w:t>
      </w:r>
      <w:r w:rsidR="00221069" w:rsidRPr="00221069">
        <w:rPr>
          <w:rFonts w:ascii="Century Schoolbook" w:hAnsi="Century Schoolbook" w:cs="Times New Roman"/>
          <w:sz w:val="24"/>
          <w:szCs w:val="24"/>
        </w:rPr>
        <w:t xml:space="preserve"> </w:t>
      </w:r>
      <w:r w:rsidR="00221069">
        <w:rPr>
          <w:rFonts w:ascii="Century Schoolbook" w:hAnsi="Century Schoolbook" w:cs="Times New Roman"/>
          <w:sz w:val="24"/>
          <w:szCs w:val="24"/>
        </w:rPr>
        <w:t>ha</w:t>
      </w:r>
      <w:r>
        <w:rPr>
          <w:rFonts w:ascii="Century Schoolbook" w:hAnsi="Century Schoolbook" w:cs="Times New Roman"/>
          <w:sz w:val="24"/>
          <w:szCs w:val="24"/>
        </w:rPr>
        <w:t>ving</w:t>
      </w:r>
      <w:r w:rsidR="00221069">
        <w:rPr>
          <w:rFonts w:ascii="Century Schoolbook" w:hAnsi="Century Schoolbook" w:cs="Times New Roman"/>
          <w:sz w:val="24"/>
          <w:szCs w:val="24"/>
        </w:rPr>
        <w:t xml:space="preserve"> become norm</w:t>
      </w:r>
      <w:r w:rsidR="003E06FE">
        <w:rPr>
          <w:rFonts w:ascii="Century Schoolbook" w:hAnsi="Century Schoolbook" w:cs="Times New Roman"/>
          <w:sz w:val="24"/>
          <w:szCs w:val="24"/>
        </w:rPr>
        <w:t>al</w:t>
      </w:r>
      <w:r w:rsidR="00221069">
        <w:rPr>
          <w:rFonts w:ascii="Century Schoolbook" w:hAnsi="Century Schoolbook" w:cs="Times New Roman"/>
          <w:sz w:val="24"/>
          <w:szCs w:val="24"/>
        </w:rPr>
        <w:t xml:space="preserve"> </w:t>
      </w:r>
      <w:r w:rsidR="00F74647">
        <w:rPr>
          <w:rFonts w:ascii="Century Schoolbook" w:hAnsi="Century Schoolbook" w:cs="Times New Roman"/>
          <w:sz w:val="24"/>
          <w:szCs w:val="24"/>
        </w:rPr>
        <w:t xml:space="preserve">in </w:t>
      </w:r>
      <w:r w:rsidR="00221069">
        <w:rPr>
          <w:rFonts w:ascii="Century Schoolbook" w:hAnsi="Century Schoolbook" w:cs="Times New Roman"/>
          <w:sz w:val="24"/>
          <w:szCs w:val="24"/>
        </w:rPr>
        <w:t xml:space="preserve">engagement with </w:t>
      </w:r>
      <w:r>
        <w:rPr>
          <w:rFonts w:ascii="Century Schoolbook" w:hAnsi="Century Schoolbook" w:cs="Times New Roman"/>
          <w:sz w:val="24"/>
          <w:szCs w:val="24"/>
        </w:rPr>
        <w:t xml:space="preserve">their </w:t>
      </w:r>
      <w:r w:rsidR="00221069">
        <w:rPr>
          <w:rFonts w:ascii="Century Schoolbook" w:hAnsi="Century Schoolbook" w:cs="Times New Roman"/>
          <w:sz w:val="24"/>
          <w:szCs w:val="24"/>
        </w:rPr>
        <w:t xml:space="preserve">executive and oversight authorities, </w:t>
      </w:r>
      <w:r w:rsidR="00733203">
        <w:rPr>
          <w:rFonts w:ascii="Century Schoolbook" w:hAnsi="Century Schoolbook" w:cs="Times New Roman"/>
          <w:sz w:val="24"/>
          <w:szCs w:val="24"/>
        </w:rPr>
        <w:t>evincing a complete collapse of ethical standards</w:t>
      </w:r>
      <w:r w:rsidR="00E54AEF">
        <w:rPr>
          <w:rFonts w:ascii="Century Schoolbook" w:hAnsi="Century Schoolbook" w:cs="Times New Roman"/>
          <w:sz w:val="24"/>
          <w:szCs w:val="24"/>
        </w:rPr>
        <w:t xml:space="preserve"> among them</w:t>
      </w:r>
      <w:r w:rsidR="00351D61">
        <w:rPr>
          <w:rFonts w:ascii="Century Schoolbook" w:hAnsi="Century Schoolbook" w:cs="Times New Roman"/>
          <w:sz w:val="24"/>
          <w:szCs w:val="24"/>
        </w:rPr>
        <w:t>.</w:t>
      </w:r>
      <w:r w:rsidR="00A3108B" w:rsidRPr="00A3108B">
        <w:rPr>
          <w:rFonts w:ascii="Century Schoolbook" w:hAnsi="Century Schoolbook" w:cs="Times New Roman"/>
          <w:sz w:val="24"/>
          <w:szCs w:val="24"/>
        </w:rPr>
        <w:t xml:space="preserve"> </w:t>
      </w:r>
      <w:r w:rsidR="005D17C6">
        <w:rPr>
          <w:rFonts w:ascii="Century Schoolbook" w:hAnsi="Century Schoolbook" w:cs="Times New Roman"/>
          <w:sz w:val="24"/>
          <w:szCs w:val="24"/>
        </w:rPr>
        <w:t>Indeed, d</w:t>
      </w:r>
      <w:r w:rsidR="003C58D9">
        <w:rPr>
          <w:rFonts w:ascii="Century Schoolbook" w:hAnsi="Century Schoolbook" w:cs="Times New Roman"/>
          <w:sz w:val="24"/>
          <w:szCs w:val="24"/>
        </w:rPr>
        <w:t xml:space="preserve">etailed </w:t>
      </w:r>
      <w:r w:rsidR="005D17C6">
        <w:rPr>
          <w:rFonts w:ascii="Century Schoolbook" w:hAnsi="Century Schoolbook" w:cs="Times New Roman"/>
          <w:sz w:val="24"/>
          <w:szCs w:val="24"/>
        </w:rPr>
        <w:t>separately in</w:t>
      </w:r>
      <w:r w:rsidR="003C58D9">
        <w:rPr>
          <w:rFonts w:ascii="Century Schoolbook" w:hAnsi="Century Schoolbook" w:cs="Times New Roman"/>
          <w:sz w:val="24"/>
          <w:szCs w:val="24"/>
        </w:rPr>
        <w:t xml:space="preserve"> a complaint </w:t>
      </w:r>
      <w:r w:rsidR="00F74647">
        <w:rPr>
          <w:rFonts w:ascii="Century Schoolbook" w:hAnsi="Century Schoolbook" w:cs="Times New Roman"/>
          <w:sz w:val="24"/>
          <w:szCs w:val="24"/>
        </w:rPr>
        <w:t xml:space="preserve">currently </w:t>
      </w:r>
      <w:r w:rsidR="003C58D9">
        <w:rPr>
          <w:rFonts w:ascii="Century Schoolbook" w:hAnsi="Century Schoolbook" w:cs="Times New Roman"/>
          <w:sz w:val="24"/>
          <w:szCs w:val="24"/>
        </w:rPr>
        <w:t xml:space="preserve">pending before the Judicial Service Commission, </w:t>
      </w:r>
      <w:r w:rsidR="00CA5B30">
        <w:rPr>
          <w:rFonts w:ascii="Century Schoolbook" w:hAnsi="Century Schoolbook" w:cs="Times New Roman"/>
          <w:sz w:val="24"/>
          <w:szCs w:val="24"/>
        </w:rPr>
        <w:t xml:space="preserve">LASA’s most senior officers’ brazen corruption and contempt for the law </w:t>
      </w:r>
      <w:r w:rsidR="005D17C6">
        <w:rPr>
          <w:rFonts w:ascii="Century Schoolbook" w:hAnsi="Century Schoolbook" w:cs="Times New Roman"/>
          <w:sz w:val="24"/>
          <w:szCs w:val="24"/>
        </w:rPr>
        <w:t>ha</w:t>
      </w:r>
      <w:r w:rsidR="00CA5B30">
        <w:rPr>
          <w:rFonts w:ascii="Century Schoolbook" w:hAnsi="Century Schoolbook" w:cs="Times New Roman"/>
          <w:sz w:val="24"/>
          <w:szCs w:val="24"/>
        </w:rPr>
        <w:t>s</w:t>
      </w:r>
      <w:r>
        <w:rPr>
          <w:rFonts w:ascii="Century Schoolbook" w:hAnsi="Century Schoolbook" w:cs="Times New Roman"/>
          <w:sz w:val="24"/>
          <w:szCs w:val="24"/>
        </w:rPr>
        <w:t xml:space="preserve"> </w:t>
      </w:r>
      <w:r w:rsidR="005D17C6">
        <w:rPr>
          <w:rFonts w:ascii="Century Schoolbook" w:hAnsi="Century Schoolbook" w:cs="Times New Roman"/>
          <w:sz w:val="24"/>
          <w:szCs w:val="24"/>
        </w:rPr>
        <w:t xml:space="preserve">reached such gross proportions that it has even </w:t>
      </w:r>
      <w:r w:rsidR="00CA5B30">
        <w:rPr>
          <w:rFonts w:ascii="Century Schoolbook" w:hAnsi="Century Schoolbook" w:cs="Times New Roman"/>
          <w:sz w:val="24"/>
          <w:szCs w:val="24"/>
        </w:rPr>
        <w:t xml:space="preserve">polluted </w:t>
      </w:r>
      <w:r w:rsidR="00A3108B">
        <w:rPr>
          <w:rFonts w:ascii="Century Schoolbook" w:hAnsi="Century Schoolbook" w:cs="Times New Roman"/>
          <w:sz w:val="24"/>
          <w:szCs w:val="24"/>
        </w:rPr>
        <w:t>the judiciary.</w:t>
      </w:r>
      <w:r w:rsidR="00A3108B">
        <w:rPr>
          <w:rStyle w:val="FootnoteReference"/>
          <w:rFonts w:ascii="Century Schoolbook" w:hAnsi="Century Schoolbook" w:cs="Times New Roman"/>
          <w:sz w:val="24"/>
          <w:szCs w:val="24"/>
        </w:rPr>
        <w:footnoteReference w:id="21"/>
      </w:r>
    </w:p>
    <w:p w:rsidR="00A37F51" w:rsidRDefault="00A37F51" w:rsidP="00A37F51">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A37F51">
        <w:rPr>
          <w:rFonts w:ascii="Century Schoolbook" w:hAnsi="Century Schoolbook" w:cs="Times New Roman"/>
          <w:b/>
          <w:sz w:val="24"/>
          <w:szCs w:val="24"/>
        </w:rPr>
        <w:t xml:space="preserve">PROVISIONS OF THE PFMA, </w:t>
      </w:r>
      <w:r w:rsidR="00045B0F">
        <w:rPr>
          <w:rFonts w:ascii="Century Schoolbook" w:hAnsi="Century Schoolbook" w:cs="Times New Roman"/>
          <w:b/>
          <w:sz w:val="24"/>
          <w:szCs w:val="24"/>
        </w:rPr>
        <w:t xml:space="preserve">THE </w:t>
      </w:r>
      <w:r w:rsidRPr="00A37F51">
        <w:rPr>
          <w:rFonts w:ascii="Century Schoolbook" w:hAnsi="Century Schoolbook" w:cs="Times New Roman"/>
          <w:b/>
          <w:sz w:val="24"/>
          <w:szCs w:val="24"/>
        </w:rPr>
        <w:t xml:space="preserve">PAA, AND </w:t>
      </w:r>
      <w:r w:rsidR="00045B0F">
        <w:rPr>
          <w:rFonts w:ascii="Century Schoolbook" w:hAnsi="Century Schoolbook" w:cs="Times New Roman"/>
          <w:b/>
          <w:sz w:val="24"/>
          <w:szCs w:val="24"/>
        </w:rPr>
        <w:t xml:space="preserve">THE </w:t>
      </w:r>
      <w:r w:rsidRPr="00A37F51">
        <w:rPr>
          <w:rFonts w:ascii="Century Schoolbook" w:hAnsi="Century Schoolbook" w:cs="Times New Roman"/>
          <w:b/>
          <w:sz w:val="24"/>
          <w:szCs w:val="24"/>
        </w:rPr>
        <w:t xml:space="preserve">CONSTITUTION </w:t>
      </w:r>
      <w:r w:rsidR="00F71116" w:rsidRPr="00A37F51">
        <w:rPr>
          <w:rFonts w:ascii="Century Schoolbook" w:hAnsi="Century Schoolbook" w:cs="Times New Roman"/>
          <w:b/>
          <w:sz w:val="24"/>
          <w:szCs w:val="24"/>
        </w:rPr>
        <w:t>GENERALLY RELEVANT</w:t>
      </w:r>
      <w:r w:rsidR="00F71116">
        <w:rPr>
          <w:rFonts w:ascii="Century Schoolbook" w:hAnsi="Century Schoolbook" w:cs="Times New Roman"/>
          <w:b/>
          <w:sz w:val="24"/>
          <w:szCs w:val="24"/>
        </w:rPr>
        <w:t xml:space="preserve"> TO THE COMPLAINT</w:t>
      </w:r>
    </w:p>
    <w:p w:rsidR="00E4687B" w:rsidRPr="006C6879" w:rsidRDefault="00E4687B" w:rsidP="00A37F51">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Section 3(1)(b) of the PFMA pr</w:t>
      </w:r>
      <w:r w:rsidR="00C6505A" w:rsidRPr="006C6879">
        <w:rPr>
          <w:rFonts w:ascii="Century Schoolbook" w:hAnsi="Century Schoolbook" w:cs="Times New Roman"/>
          <w:sz w:val="24"/>
          <w:szCs w:val="24"/>
        </w:rPr>
        <w:t>ovid</w:t>
      </w:r>
      <w:r w:rsidRPr="006C6879">
        <w:rPr>
          <w:rFonts w:ascii="Century Schoolbook" w:hAnsi="Century Schoolbook" w:cs="Times New Roman"/>
          <w:sz w:val="24"/>
          <w:szCs w:val="24"/>
        </w:rPr>
        <w:t>es that the Act ‘applies to ... public entities listed in Schedule ... 3’,</w:t>
      </w:r>
      <w:r w:rsidR="004D354E">
        <w:rPr>
          <w:rStyle w:val="FootnoteReference"/>
          <w:rFonts w:ascii="Century Schoolbook" w:hAnsi="Century Schoolbook" w:cs="Times New Roman"/>
          <w:sz w:val="24"/>
          <w:szCs w:val="24"/>
        </w:rPr>
        <w:footnoteReference w:id="22"/>
      </w:r>
      <w:r w:rsidRPr="006C6879">
        <w:rPr>
          <w:rFonts w:ascii="Century Schoolbook" w:hAnsi="Century Schoolbook" w:cs="Times New Roman"/>
          <w:sz w:val="24"/>
          <w:szCs w:val="24"/>
        </w:rPr>
        <w:t xml:space="preserve"> including ‘49. Legal Aid Board’</w:t>
      </w:r>
      <w:r w:rsidR="00E00709">
        <w:rPr>
          <w:rFonts w:ascii="Century Schoolbook" w:hAnsi="Century Schoolbook" w:cs="Times New Roman"/>
          <w:sz w:val="24"/>
          <w:szCs w:val="24"/>
        </w:rPr>
        <w:t xml:space="preserve"> (now LASA)</w:t>
      </w:r>
      <w:r w:rsidR="00AB7E2D">
        <w:rPr>
          <w:rFonts w:ascii="Century Schoolbook" w:hAnsi="Century Schoolbook" w:cs="Times New Roman"/>
          <w:sz w:val="24"/>
          <w:szCs w:val="24"/>
        </w:rPr>
        <w:t>;</w:t>
      </w:r>
      <w:r w:rsidR="005F3F8F" w:rsidRPr="006C6879">
        <w:rPr>
          <w:rFonts w:ascii="Century Schoolbook" w:hAnsi="Century Schoolbook" w:cs="Times New Roman"/>
          <w:sz w:val="24"/>
          <w:szCs w:val="24"/>
        </w:rPr>
        <w:t xml:space="preserve"> </w:t>
      </w:r>
      <w:r w:rsidR="00D25EBE">
        <w:rPr>
          <w:rFonts w:ascii="Century Schoolbook" w:hAnsi="Century Schoolbook" w:cs="Times New Roman"/>
          <w:sz w:val="24"/>
          <w:szCs w:val="24"/>
        </w:rPr>
        <w:t>and s</w:t>
      </w:r>
      <w:r w:rsidRPr="006C6879">
        <w:rPr>
          <w:rFonts w:ascii="Century Schoolbook" w:hAnsi="Century Schoolbook" w:cs="Times New Roman"/>
          <w:sz w:val="24"/>
          <w:szCs w:val="24"/>
        </w:rPr>
        <w:t xml:space="preserve">ection 2(1) of the Legal Aid South Africa Act 39 of 2014 </w:t>
      </w:r>
      <w:r w:rsidR="005F3F8F" w:rsidRPr="006C6879">
        <w:rPr>
          <w:rFonts w:ascii="Century Schoolbook" w:hAnsi="Century Schoolbook" w:cs="Times New Roman"/>
          <w:sz w:val="24"/>
          <w:szCs w:val="24"/>
        </w:rPr>
        <w:t xml:space="preserve">accordingly </w:t>
      </w:r>
      <w:r w:rsidRPr="006C6879">
        <w:rPr>
          <w:rFonts w:ascii="Century Schoolbook" w:hAnsi="Century Schoolbook" w:cs="Times New Roman"/>
          <w:sz w:val="24"/>
          <w:szCs w:val="24"/>
        </w:rPr>
        <w:t>describes L</w:t>
      </w:r>
      <w:r w:rsidR="005D17C6">
        <w:rPr>
          <w:rFonts w:ascii="Century Schoolbook" w:hAnsi="Century Schoolbook" w:cs="Times New Roman"/>
          <w:sz w:val="24"/>
          <w:szCs w:val="24"/>
        </w:rPr>
        <w:t>ASA as ‘a national public entity</w:t>
      </w:r>
      <w:r w:rsidRPr="006C6879">
        <w:rPr>
          <w:rFonts w:ascii="Century Schoolbook" w:hAnsi="Century Schoolbook" w:cs="Times New Roman"/>
          <w:sz w:val="24"/>
          <w:szCs w:val="24"/>
        </w:rPr>
        <w:t xml:space="preserve"> as provided for in the Public Finance Management Act’. </w:t>
      </w:r>
    </w:p>
    <w:p w:rsidR="00E4687B" w:rsidRDefault="00E4687B" w:rsidP="00E4687B">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Section 2 of the PFMA states that ‘The object of this Act is to secure transparency, accountability, and sound management of the revenue, expenditure, assets and liabilities of the institutions to which this Act applies.’ </w:t>
      </w:r>
    </w:p>
    <w:p w:rsidR="00EB0B50" w:rsidRDefault="00EB0B50" w:rsidP="00E4687B">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Under section 1 of the PFMA</w:t>
      </w:r>
      <w:r w:rsidR="00E52A6F">
        <w:rPr>
          <w:rFonts w:ascii="Century Schoolbook" w:hAnsi="Century Schoolbook" w:cs="Times New Roman"/>
          <w:sz w:val="24"/>
          <w:szCs w:val="24"/>
        </w:rPr>
        <w:t>,</w:t>
      </w:r>
      <w:r>
        <w:rPr>
          <w:rFonts w:ascii="Century Schoolbook" w:hAnsi="Century Schoolbook" w:cs="Times New Roman"/>
          <w:sz w:val="24"/>
          <w:szCs w:val="24"/>
        </w:rPr>
        <w:t xml:space="preserve"> ‘</w:t>
      </w:r>
      <w:r w:rsidRPr="00EB0B50">
        <w:rPr>
          <w:rFonts w:ascii="Century Schoolbook" w:hAnsi="Century Schoolbook" w:cs="Times New Roman"/>
          <w:b/>
          <w:sz w:val="24"/>
          <w:szCs w:val="24"/>
        </w:rPr>
        <w:t xml:space="preserve">“executive authority” </w:t>
      </w:r>
      <w:r>
        <w:rPr>
          <w:rFonts w:ascii="Century Schoolbook" w:hAnsi="Century Schoolbook" w:cs="Times New Roman"/>
          <w:sz w:val="24"/>
          <w:szCs w:val="24"/>
        </w:rPr>
        <w:t>... (c)</w:t>
      </w:r>
      <w:r w:rsidRPr="00EB0B50">
        <w:t xml:space="preserve"> </w:t>
      </w:r>
      <w:r w:rsidRPr="00EB0B50">
        <w:rPr>
          <w:rFonts w:ascii="Century Schoolbook" w:hAnsi="Century Schoolbook" w:cs="Times New Roman"/>
          <w:sz w:val="24"/>
          <w:szCs w:val="24"/>
        </w:rPr>
        <w:t>in relation to a national public entity, means the Cabinet member who is accountable to Parliament for that public entity or in whose portfolio it falls</w:t>
      </w:r>
      <w:r w:rsidR="00F876B7">
        <w:rPr>
          <w:rFonts w:ascii="Century Schoolbook" w:hAnsi="Century Schoolbook" w:cs="Times New Roman"/>
          <w:sz w:val="24"/>
          <w:szCs w:val="24"/>
        </w:rPr>
        <w:t xml:space="preserve">’ – </w:t>
      </w:r>
      <w:r w:rsidR="00F876B7" w:rsidRPr="00F876B7">
        <w:rPr>
          <w:rFonts w:ascii="Century Schoolbook" w:hAnsi="Century Schoolbook" w:cs="Times New Roman"/>
          <w:i/>
          <w:sz w:val="24"/>
          <w:szCs w:val="24"/>
        </w:rPr>
        <w:t>in casu</w:t>
      </w:r>
      <w:r w:rsidR="00F876B7">
        <w:rPr>
          <w:rFonts w:ascii="Century Schoolbook" w:hAnsi="Century Schoolbook" w:cs="Times New Roman"/>
          <w:sz w:val="24"/>
          <w:szCs w:val="24"/>
        </w:rPr>
        <w:t>, the Minister</w:t>
      </w:r>
      <w:r>
        <w:rPr>
          <w:rFonts w:ascii="Century Schoolbook" w:hAnsi="Century Schoolbook" w:cs="Times New Roman"/>
          <w:sz w:val="24"/>
          <w:szCs w:val="24"/>
        </w:rPr>
        <w:t>.</w:t>
      </w:r>
    </w:p>
    <w:p w:rsidR="006406BB" w:rsidRPr="006C6879" w:rsidRDefault="006406BB" w:rsidP="006406BB">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Section 4 of the PAA, ‘Constitutional functions’, provides in subsection (3):</w:t>
      </w:r>
    </w:p>
    <w:p w:rsidR="006406BB" w:rsidRPr="006C6879" w:rsidRDefault="006406BB" w:rsidP="006406BB">
      <w:pPr>
        <w:pStyle w:val="ListParagraph"/>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lastRenderedPageBreak/>
        <w:t xml:space="preserve">The Auditor-General may audit and report on the accounts, </w:t>
      </w:r>
      <w:r w:rsidR="00F137CA" w:rsidRPr="006C6879">
        <w:rPr>
          <w:rFonts w:ascii="Century Schoolbook" w:hAnsi="Century Schoolbook" w:cs="Times New Roman"/>
          <w:sz w:val="24"/>
          <w:szCs w:val="24"/>
        </w:rPr>
        <w:t>financial</w:t>
      </w:r>
      <w:r w:rsidRPr="006C6879">
        <w:rPr>
          <w:rFonts w:ascii="Century Schoolbook" w:hAnsi="Century Schoolbook" w:cs="Times New Roman"/>
          <w:sz w:val="24"/>
          <w:szCs w:val="24"/>
        </w:rPr>
        <w:t xml:space="preserve"> statements and financial management of–</w:t>
      </w:r>
    </w:p>
    <w:p w:rsidR="006406BB" w:rsidRPr="006C6879" w:rsidRDefault="006406BB" w:rsidP="00EA65BA">
      <w:pPr>
        <w:pStyle w:val="ListParagraph"/>
        <w:numPr>
          <w:ilvl w:val="0"/>
          <w:numId w:val="15"/>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any public entity listed in the Public Finance Management Act</w:t>
      </w:r>
      <w:r w:rsidR="003B6303" w:rsidRPr="006C6879">
        <w:rPr>
          <w:rFonts w:ascii="Century Schoolbook" w:hAnsi="Century Schoolbook" w:cs="Times New Roman"/>
          <w:sz w:val="24"/>
          <w:szCs w:val="24"/>
        </w:rPr>
        <w:t>[.]</w:t>
      </w:r>
    </w:p>
    <w:p w:rsidR="00EA65BA" w:rsidRPr="006C6879" w:rsidRDefault="00EA65BA" w:rsidP="00EA65B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Under section 1 of the PAA</w:t>
      </w:r>
      <w:r w:rsidR="006E1275">
        <w:rPr>
          <w:rFonts w:ascii="Century Schoolbook" w:hAnsi="Century Schoolbook" w:cs="Times New Roman"/>
          <w:sz w:val="24"/>
          <w:szCs w:val="24"/>
        </w:rPr>
        <w:t>, ‘Definitions’,</w:t>
      </w:r>
    </w:p>
    <w:p w:rsidR="00EA65BA" w:rsidRPr="006C6879" w:rsidRDefault="00EA65BA" w:rsidP="00EA65BA">
      <w:pPr>
        <w:pStyle w:val="ListParagraph"/>
        <w:tabs>
          <w:tab w:val="left" w:pos="284"/>
          <w:tab w:val="left" w:pos="426"/>
        </w:tabs>
        <w:spacing w:line="360" w:lineRule="auto"/>
        <w:ind w:left="709"/>
        <w:contextualSpacing w:val="0"/>
        <w:rPr>
          <w:rFonts w:ascii="Century Schoolbook" w:hAnsi="Century Schoolbook" w:cs="Times New Roman"/>
          <w:sz w:val="24"/>
          <w:szCs w:val="24"/>
        </w:rPr>
      </w:pPr>
      <w:r w:rsidRPr="00163322">
        <w:rPr>
          <w:rFonts w:ascii="Century Schoolbook" w:hAnsi="Century Schoolbook" w:cs="Times New Roman"/>
          <w:b/>
          <w:sz w:val="24"/>
          <w:szCs w:val="24"/>
        </w:rPr>
        <w:t>“</w:t>
      </w:r>
      <w:r w:rsidRPr="006C6879">
        <w:rPr>
          <w:rFonts w:ascii="Century Schoolbook" w:hAnsi="Century Schoolbook" w:cs="Times New Roman"/>
          <w:b/>
          <w:sz w:val="24"/>
          <w:szCs w:val="24"/>
        </w:rPr>
        <w:t>material irregularity</w:t>
      </w:r>
      <w:r w:rsidRPr="00163322">
        <w:rPr>
          <w:rFonts w:ascii="Century Schoolbook" w:hAnsi="Century Schoolbook" w:cs="Times New Roman"/>
          <w:b/>
          <w:sz w:val="24"/>
          <w:szCs w:val="24"/>
        </w:rPr>
        <w:t>”</w:t>
      </w:r>
      <w:r w:rsidRPr="006C6879">
        <w:rPr>
          <w:rFonts w:ascii="Century Schoolbook" w:hAnsi="Century Schoolbook" w:cs="Times New Roman"/>
          <w:sz w:val="24"/>
          <w:szCs w:val="24"/>
        </w:rPr>
        <w:t xml:space="preserve"> means any non-compliance </w:t>
      </w:r>
      <w:r w:rsidR="001D2998" w:rsidRPr="006C6879">
        <w:rPr>
          <w:rFonts w:ascii="Century Schoolbook" w:hAnsi="Century Schoolbook" w:cs="Times New Roman"/>
          <w:sz w:val="24"/>
          <w:szCs w:val="24"/>
        </w:rPr>
        <w:t xml:space="preserve">with, or contravention of, legislation, fraud, </w:t>
      </w:r>
      <w:r w:rsidR="00341AC4">
        <w:rPr>
          <w:rFonts w:ascii="Century Schoolbook" w:hAnsi="Century Schoolbook" w:cs="Times New Roman"/>
          <w:sz w:val="24"/>
          <w:szCs w:val="24"/>
        </w:rPr>
        <w:t>...</w:t>
      </w:r>
      <w:r w:rsidR="001D2998" w:rsidRPr="006C6879">
        <w:rPr>
          <w:rFonts w:ascii="Century Schoolbook" w:hAnsi="Century Schoolbook" w:cs="Times New Roman"/>
          <w:sz w:val="24"/>
          <w:szCs w:val="24"/>
        </w:rPr>
        <w:t xml:space="preserve"> or a breach of fiduciary duty identified during an audit performed under this Act that resulted in or is likely to result in </w:t>
      </w:r>
      <w:r w:rsidR="00A64614">
        <w:rPr>
          <w:rFonts w:ascii="Century Schoolbook" w:hAnsi="Century Schoolbook" w:cs="Times New Roman"/>
          <w:sz w:val="24"/>
          <w:szCs w:val="24"/>
        </w:rPr>
        <w:t xml:space="preserve">... </w:t>
      </w:r>
      <w:r w:rsidR="001D2998" w:rsidRPr="006C6879">
        <w:rPr>
          <w:rFonts w:ascii="Century Schoolbook" w:hAnsi="Century Schoolbook" w:cs="Times New Roman"/>
          <w:sz w:val="24"/>
          <w:szCs w:val="24"/>
        </w:rPr>
        <w:t xml:space="preserve">the misuse </w:t>
      </w:r>
      <w:r w:rsidR="00A64614">
        <w:rPr>
          <w:rFonts w:ascii="Century Schoolbook" w:hAnsi="Century Schoolbook" w:cs="Times New Roman"/>
          <w:sz w:val="24"/>
          <w:szCs w:val="24"/>
        </w:rPr>
        <w:t>...</w:t>
      </w:r>
      <w:r w:rsidR="001D2998" w:rsidRPr="006C6879">
        <w:rPr>
          <w:rFonts w:ascii="Century Schoolbook" w:hAnsi="Century Schoolbook" w:cs="Times New Roman"/>
          <w:sz w:val="24"/>
          <w:szCs w:val="24"/>
        </w:rPr>
        <w:t xml:space="preserve"> of a public resource or substantial harm to a public sector institution or the general public[.]</w:t>
      </w:r>
    </w:p>
    <w:p w:rsidR="000D13AC" w:rsidRPr="006C6879" w:rsidRDefault="000D13AC" w:rsidP="000957B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sz w:val="24"/>
          <w:szCs w:val="24"/>
        </w:rPr>
        <w:t xml:space="preserve">Section 5(1A) </w:t>
      </w:r>
      <w:r w:rsidR="006D2F47" w:rsidRPr="006C6879">
        <w:rPr>
          <w:rFonts w:ascii="Century Schoolbook" w:hAnsi="Century Schoolbook"/>
          <w:sz w:val="24"/>
          <w:szCs w:val="24"/>
        </w:rPr>
        <w:t>of the PAA provides:</w:t>
      </w:r>
    </w:p>
    <w:p w:rsidR="00A3166A" w:rsidRDefault="006D2F47" w:rsidP="006D2F47">
      <w:pPr>
        <w:pStyle w:val="ListParagraph"/>
        <w:tabs>
          <w:tab w:val="left" w:pos="284"/>
        </w:tabs>
        <w:spacing w:line="360" w:lineRule="auto"/>
        <w:contextualSpacing w:val="0"/>
        <w:rPr>
          <w:rFonts w:ascii="Century Schoolbook" w:hAnsi="Century Schoolbook"/>
          <w:sz w:val="24"/>
          <w:szCs w:val="24"/>
        </w:rPr>
      </w:pPr>
      <w:r w:rsidRPr="006C6879">
        <w:rPr>
          <w:rFonts w:ascii="Century Schoolbook" w:hAnsi="Century Schoolbook"/>
          <w:sz w:val="24"/>
          <w:szCs w:val="24"/>
        </w:rPr>
        <w:t>The Auditor-General may, as prescribed, refer any suspected material irregularity identified during an audit performed under this Act to a relevant public body for investigation, and the relevant public body must keep the Auditor-General informed of the progress and final outcome of the investigation</w:t>
      </w:r>
      <w:r w:rsidR="00A3166A" w:rsidRPr="006C6879">
        <w:rPr>
          <w:rFonts w:ascii="Century Schoolbook" w:hAnsi="Century Schoolbook"/>
          <w:sz w:val="24"/>
          <w:szCs w:val="24"/>
        </w:rPr>
        <w:t>.</w:t>
      </w:r>
    </w:p>
    <w:p w:rsidR="006E1275" w:rsidRPr="006C6879" w:rsidRDefault="006E1275" w:rsidP="006E1275">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Section 5(1B) provides:</w:t>
      </w:r>
    </w:p>
    <w:p w:rsidR="006E1275" w:rsidRPr="006C6879" w:rsidRDefault="006E1275" w:rsidP="006E1275">
      <w:pPr>
        <w:autoSpaceDE w:val="0"/>
        <w:autoSpaceDN w:val="0"/>
        <w:adjustRightInd w:val="0"/>
        <w:spacing w:line="360" w:lineRule="auto"/>
        <w:ind w:left="720"/>
        <w:rPr>
          <w:rFonts w:ascii="Century Schoolbook" w:hAnsi="Century Schoolbook" w:cs="Times New Roman"/>
          <w:sz w:val="24"/>
          <w:szCs w:val="24"/>
        </w:rPr>
      </w:pPr>
      <w:r w:rsidRPr="006C6879">
        <w:rPr>
          <w:rFonts w:ascii="Century Schoolbook" w:hAnsi="Century Schoolbook" w:cs="Times New Roman"/>
          <w:sz w:val="24"/>
          <w:szCs w:val="24"/>
        </w:rPr>
        <w:t>The Auditor-General has the power to–</w:t>
      </w:r>
    </w:p>
    <w:p w:rsidR="006E1275" w:rsidRPr="006C6879" w:rsidRDefault="006E1275" w:rsidP="006E1275">
      <w:pPr>
        <w:autoSpaceDE w:val="0"/>
        <w:autoSpaceDN w:val="0"/>
        <w:adjustRightInd w:val="0"/>
        <w:spacing w:line="360" w:lineRule="auto"/>
        <w:ind w:left="720"/>
        <w:rPr>
          <w:rFonts w:ascii="Century Schoolbook" w:hAnsi="Century Schoolbook" w:cs="Times New Roman"/>
          <w:sz w:val="24"/>
          <w:szCs w:val="24"/>
        </w:rPr>
      </w:pPr>
      <w:r w:rsidRPr="006C6879">
        <w:rPr>
          <w:rFonts w:ascii="Century Schoolbook" w:hAnsi="Century Schoolbook" w:cs="Times New Roman"/>
          <w:sz w:val="24"/>
          <w:szCs w:val="24"/>
        </w:rPr>
        <w:t>(a) take any appropriate remedial action[.]</w:t>
      </w:r>
    </w:p>
    <w:p w:rsidR="00A3166A" w:rsidRPr="006C6879" w:rsidRDefault="00A3166A" w:rsidP="000957B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Section 5(3) of the PAA provides:</w:t>
      </w:r>
    </w:p>
    <w:p w:rsidR="00A3166A" w:rsidRPr="006C6879" w:rsidRDefault="00A3166A" w:rsidP="00A3166A">
      <w:pPr>
        <w:pStyle w:val="ListParagraph"/>
        <w:tabs>
          <w:tab w:val="left" w:pos="284"/>
        </w:tabs>
        <w:spacing w:line="360" w:lineRule="auto"/>
        <w:contextualSpacing w:val="0"/>
        <w:rPr>
          <w:rFonts w:ascii="Century Schoolbook" w:hAnsi="Century Schoolbook"/>
          <w:sz w:val="24"/>
          <w:szCs w:val="24"/>
        </w:rPr>
      </w:pPr>
      <w:r w:rsidRPr="006C6879">
        <w:rPr>
          <w:rFonts w:ascii="Century Schoolbook" w:hAnsi="Century Schoolbook"/>
          <w:sz w:val="24"/>
          <w:szCs w:val="24"/>
        </w:rPr>
        <w:t>The Auditor-General may, in the public interest, report on any matter within the functions of the Auditor-General and submit such a report to the relevant legislature and to any other organs of state with a direct interest in the matter.</w:t>
      </w:r>
    </w:p>
    <w:p w:rsidR="00A3166A" w:rsidRPr="006C6879" w:rsidRDefault="00A3166A" w:rsidP="00A3166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Section 5A of the PAA </w:t>
      </w:r>
      <w:r w:rsidR="00321BB7" w:rsidRPr="006C6879">
        <w:rPr>
          <w:rFonts w:ascii="Century Schoolbook" w:hAnsi="Century Schoolbook" w:cs="Times New Roman"/>
          <w:sz w:val="24"/>
          <w:szCs w:val="24"/>
        </w:rPr>
        <w:t>requires:</w:t>
      </w:r>
    </w:p>
    <w:p w:rsidR="00321BB7" w:rsidRPr="006C6879" w:rsidRDefault="00321BB7" w:rsidP="00321BB7">
      <w:pPr>
        <w:pStyle w:val="ListParagraph"/>
        <w:tabs>
          <w:tab w:val="left" w:pos="284"/>
        </w:tabs>
        <w:spacing w:line="360" w:lineRule="auto"/>
        <w:contextualSpacing w:val="0"/>
        <w:rPr>
          <w:rFonts w:ascii="Century Schoolbook" w:hAnsi="Century Schoolbook"/>
          <w:sz w:val="24"/>
          <w:szCs w:val="24"/>
        </w:rPr>
      </w:pPr>
      <w:r w:rsidRPr="006C6879">
        <w:rPr>
          <w:rFonts w:ascii="Century Schoolbook" w:hAnsi="Century Schoolbook" w:cs="Times New Roman"/>
          <w:sz w:val="24"/>
          <w:szCs w:val="24"/>
        </w:rPr>
        <w:t>The</w:t>
      </w:r>
      <w:r w:rsidRPr="006C6879">
        <w:rPr>
          <w:rFonts w:ascii="Century Schoolbook" w:hAnsi="Century Schoolbook"/>
          <w:sz w:val="24"/>
          <w:szCs w:val="24"/>
        </w:rPr>
        <w:t xml:space="preserve"> Auditor-General must, within a reasonable time after the issuing of an audit report in terms of section 20, follow up on whether the accounting officer or accounting authority has implemented the recommendations </w:t>
      </w:r>
      <w:r w:rsidRPr="006C6879">
        <w:rPr>
          <w:rFonts w:ascii="Century Schoolbook" w:hAnsi="Century Schoolbook"/>
          <w:sz w:val="24"/>
          <w:szCs w:val="24"/>
        </w:rPr>
        <w:lastRenderedPageBreak/>
        <w:t>contained in the audit report relating to any material irregularity, within the time-frame stipulated in the audit report.</w:t>
      </w:r>
    </w:p>
    <w:p w:rsidR="00321BB7" w:rsidRPr="006C6879" w:rsidRDefault="00321BB7" w:rsidP="00321BB7">
      <w:pPr>
        <w:pStyle w:val="ListParagraph"/>
        <w:numPr>
          <w:ilvl w:val="0"/>
          <w:numId w:val="1"/>
        </w:numPr>
        <w:tabs>
          <w:tab w:val="left" w:pos="284"/>
          <w:tab w:val="left" w:pos="426"/>
        </w:tabs>
        <w:spacing w:line="360" w:lineRule="auto"/>
        <w:ind w:left="0" w:firstLine="0"/>
        <w:contextualSpacing w:val="0"/>
        <w:rPr>
          <w:rFonts w:ascii="Century Schoolbook" w:hAnsi="Century Schoolbook"/>
          <w:sz w:val="24"/>
          <w:szCs w:val="24"/>
        </w:rPr>
      </w:pPr>
      <w:r w:rsidRPr="006C6879">
        <w:rPr>
          <w:rFonts w:ascii="Century Schoolbook" w:hAnsi="Century Schoolbook"/>
          <w:sz w:val="24"/>
          <w:szCs w:val="24"/>
        </w:rPr>
        <w:t>Section 11 of the PAA prescribes that ‘Part 3: Accountability’ ‘applies to all audits of auditees which the Auditor-General – ... (b) opts to perform in terms of section 4(3).</w:t>
      </w:r>
    </w:p>
    <w:p w:rsidR="007A0F25" w:rsidRPr="006C6879" w:rsidRDefault="00321BB7" w:rsidP="00321BB7">
      <w:pPr>
        <w:pStyle w:val="ListParagraph"/>
        <w:numPr>
          <w:ilvl w:val="0"/>
          <w:numId w:val="1"/>
        </w:numPr>
        <w:tabs>
          <w:tab w:val="left" w:pos="284"/>
          <w:tab w:val="left" w:pos="426"/>
        </w:tabs>
        <w:spacing w:line="360" w:lineRule="auto"/>
        <w:ind w:left="0" w:firstLine="0"/>
        <w:contextualSpacing w:val="0"/>
        <w:rPr>
          <w:rFonts w:ascii="Century Schoolbook" w:hAnsi="Century Schoolbook"/>
          <w:sz w:val="24"/>
          <w:szCs w:val="24"/>
        </w:rPr>
      </w:pPr>
      <w:r w:rsidRPr="006C6879">
        <w:rPr>
          <w:rFonts w:ascii="Century Schoolbook" w:hAnsi="Century Schoolbook"/>
          <w:sz w:val="24"/>
          <w:szCs w:val="24"/>
        </w:rPr>
        <w:t xml:space="preserve">Section 15 of the PAA </w:t>
      </w:r>
      <w:r w:rsidR="007A0F25" w:rsidRPr="006C6879">
        <w:rPr>
          <w:rFonts w:ascii="Century Schoolbook" w:hAnsi="Century Schoolbook"/>
          <w:sz w:val="24"/>
          <w:szCs w:val="24"/>
        </w:rPr>
        <w:t>provides:</w:t>
      </w:r>
    </w:p>
    <w:p w:rsidR="007A0F25" w:rsidRPr="006C6879" w:rsidRDefault="007A0F25" w:rsidP="007A0F25">
      <w:pPr>
        <w:pStyle w:val="ListParagraph"/>
        <w:tabs>
          <w:tab w:val="left" w:pos="284"/>
          <w:tab w:val="left" w:pos="426"/>
        </w:tabs>
        <w:spacing w:line="360" w:lineRule="auto"/>
        <w:ind w:left="709"/>
        <w:contextualSpacing w:val="0"/>
        <w:rPr>
          <w:rFonts w:ascii="Century Schoolbook" w:hAnsi="Century Schoolbook"/>
          <w:sz w:val="24"/>
          <w:szCs w:val="24"/>
        </w:rPr>
      </w:pPr>
      <w:r w:rsidRPr="006C6879">
        <w:rPr>
          <w:rFonts w:ascii="Century Schoolbook" w:hAnsi="Century Schoolbook"/>
          <w:sz w:val="24"/>
          <w:szCs w:val="24"/>
        </w:rPr>
        <w:t xml:space="preserve">When performing an audit under section 11, the </w:t>
      </w:r>
      <w:r w:rsidR="00321BB7" w:rsidRPr="006C6879">
        <w:rPr>
          <w:rFonts w:ascii="Century Schoolbook" w:hAnsi="Century Schoolbook"/>
          <w:sz w:val="24"/>
          <w:szCs w:val="24"/>
        </w:rPr>
        <w:t>Auditor-General</w:t>
      </w:r>
      <w:r w:rsidRPr="006C6879">
        <w:rPr>
          <w:rFonts w:ascii="Century Schoolbook" w:hAnsi="Century Schoolbook"/>
          <w:sz w:val="24"/>
          <w:szCs w:val="24"/>
        </w:rPr>
        <w:t xml:space="preserve"> or an authorised auditor has at all reasonable times </w:t>
      </w:r>
      <w:r w:rsidR="00321BB7" w:rsidRPr="006C6879">
        <w:rPr>
          <w:rFonts w:ascii="Century Schoolbook" w:hAnsi="Century Schoolbook"/>
          <w:sz w:val="24"/>
          <w:szCs w:val="24"/>
        </w:rPr>
        <w:t xml:space="preserve">full and unrestricted access to– </w:t>
      </w:r>
    </w:p>
    <w:p w:rsidR="00A816AC" w:rsidRPr="006C6879" w:rsidRDefault="00321BB7" w:rsidP="00A816AC">
      <w:pPr>
        <w:pStyle w:val="ListParagraph"/>
        <w:numPr>
          <w:ilvl w:val="0"/>
          <w:numId w:val="16"/>
        </w:numPr>
        <w:tabs>
          <w:tab w:val="left" w:pos="284"/>
          <w:tab w:val="left" w:pos="426"/>
        </w:tabs>
        <w:spacing w:line="360" w:lineRule="auto"/>
        <w:contextualSpacing w:val="0"/>
        <w:rPr>
          <w:rFonts w:ascii="Century Schoolbook" w:hAnsi="Century Schoolbook"/>
          <w:sz w:val="24"/>
          <w:szCs w:val="24"/>
        </w:rPr>
      </w:pPr>
      <w:r w:rsidRPr="006C6879">
        <w:rPr>
          <w:rFonts w:ascii="Century Schoolbook" w:hAnsi="Century Schoolbook"/>
          <w:sz w:val="24"/>
          <w:szCs w:val="24"/>
        </w:rPr>
        <w:t>any document, book or written or electronic record or information of the auditee which</w:t>
      </w:r>
      <w:r w:rsidR="007A0F25" w:rsidRPr="006C6879">
        <w:rPr>
          <w:rFonts w:ascii="Century Schoolbook" w:hAnsi="Century Schoolbook"/>
          <w:sz w:val="24"/>
          <w:szCs w:val="24"/>
        </w:rPr>
        <w:t xml:space="preserve"> or which reflects or may elucidate the business, financial results, financial position or performance of the auditee; </w:t>
      </w:r>
    </w:p>
    <w:p w:rsidR="007A0F25" w:rsidRPr="006C6879" w:rsidRDefault="007A0F25" w:rsidP="00A816AC">
      <w:pPr>
        <w:pStyle w:val="ListParagraph"/>
        <w:numPr>
          <w:ilvl w:val="0"/>
          <w:numId w:val="16"/>
        </w:numPr>
        <w:tabs>
          <w:tab w:val="left" w:pos="284"/>
          <w:tab w:val="left" w:pos="426"/>
        </w:tabs>
        <w:spacing w:line="360" w:lineRule="auto"/>
        <w:contextualSpacing w:val="0"/>
        <w:rPr>
          <w:rFonts w:ascii="Century Schoolbook" w:hAnsi="Century Schoolbook"/>
          <w:sz w:val="24"/>
          <w:szCs w:val="24"/>
        </w:rPr>
      </w:pPr>
      <w:r w:rsidRPr="006C6879">
        <w:rPr>
          <w:rFonts w:ascii="Century Schoolbook" w:hAnsi="Century Schoolbook"/>
          <w:sz w:val="24"/>
          <w:szCs w:val="24"/>
        </w:rPr>
        <w:t xml:space="preserve">... or </w:t>
      </w:r>
    </w:p>
    <w:p w:rsidR="00321BB7" w:rsidRPr="006C6879" w:rsidRDefault="007A0F25" w:rsidP="007A0F25">
      <w:pPr>
        <w:pStyle w:val="ListParagraph"/>
        <w:tabs>
          <w:tab w:val="left" w:pos="284"/>
          <w:tab w:val="left" w:pos="426"/>
        </w:tabs>
        <w:spacing w:line="360" w:lineRule="auto"/>
        <w:ind w:left="709"/>
        <w:contextualSpacing w:val="0"/>
        <w:rPr>
          <w:rFonts w:ascii="Century Schoolbook" w:hAnsi="Century Schoolbook"/>
          <w:sz w:val="24"/>
          <w:szCs w:val="24"/>
        </w:rPr>
      </w:pPr>
      <w:r w:rsidRPr="006C6879">
        <w:rPr>
          <w:rFonts w:ascii="Century Schoolbook" w:hAnsi="Century Schoolbook"/>
          <w:sz w:val="24"/>
          <w:szCs w:val="24"/>
        </w:rPr>
        <w:t xml:space="preserve">(c) </w:t>
      </w:r>
      <w:r w:rsidR="00813406" w:rsidRPr="006C6879">
        <w:rPr>
          <w:rFonts w:ascii="Century Schoolbook" w:hAnsi="Century Schoolbook"/>
          <w:sz w:val="24"/>
          <w:szCs w:val="24"/>
        </w:rPr>
        <w:t xml:space="preserve">  </w:t>
      </w:r>
      <w:r w:rsidRPr="006C6879">
        <w:rPr>
          <w:rFonts w:ascii="Century Schoolbook" w:hAnsi="Century Schoolbook"/>
          <w:sz w:val="24"/>
          <w:szCs w:val="24"/>
        </w:rPr>
        <w:t>any staff member or representative of the auditee.</w:t>
      </w:r>
    </w:p>
    <w:p w:rsidR="00A816AC" w:rsidRPr="006C6879" w:rsidRDefault="00321BB7" w:rsidP="00321BB7">
      <w:pPr>
        <w:pStyle w:val="ListParagraph"/>
        <w:numPr>
          <w:ilvl w:val="0"/>
          <w:numId w:val="1"/>
        </w:numPr>
        <w:tabs>
          <w:tab w:val="left" w:pos="284"/>
          <w:tab w:val="left" w:pos="426"/>
        </w:tabs>
        <w:spacing w:line="360" w:lineRule="auto"/>
        <w:ind w:left="0" w:firstLine="0"/>
        <w:contextualSpacing w:val="0"/>
        <w:rPr>
          <w:rFonts w:ascii="Century Schoolbook" w:hAnsi="Century Schoolbook"/>
          <w:sz w:val="24"/>
          <w:szCs w:val="24"/>
        </w:rPr>
      </w:pPr>
      <w:r w:rsidRPr="006C6879">
        <w:rPr>
          <w:rFonts w:ascii="Century Schoolbook" w:hAnsi="Century Schoolbook"/>
          <w:sz w:val="24"/>
          <w:szCs w:val="24"/>
        </w:rPr>
        <w:t>Section 20 of the PAA provides</w:t>
      </w:r>
      <w:r w:rsidR="00A816AC" w:rsidRPr="006C6879">
        <w:rPr>
          <w:rFonts w:ascii="Century Schoolbook" w:hAnsi="Century Schoolbook"/>
          <w:sz w:val="24"/>
          <w:szCs w:val="24"/>
        </w:rPr>
        <w:t>:</w:t>
      </w:r>
    </w:p>
    <w:p w:rsidR="00321BB7" w:rsidRPr="006C6879" w:rsidRDefault="00A816AC" w:rsidP="00A816AC">
      <w:pPr>
        <w:pStyle w:val="ListParagraph"/>
        <w:numPr>
          <w:ilvl w:val="0"/>
          <w:numId w:val="17"/>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The Auditor-General must in respect of each audit referred to in section 11 prepare a report on the audit.</w:t>
      </w:r>
    </w:p>
    <w:p w:rsidR="00A816AC" w:rsidRPr="006C6879" w:rsidRDefault="00A816AC" w:rsidP="00A816AC">
      <w:pPr>
        <w:pStyle w:val="ListParagraph"/>
        <w:numPr>
          <w:ilvl w:val="0"/>
          <w:numId w:val="17"/>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An audit report must reflect ... an opinion, conclusion or findings on–</w:t>
      </w:r>
    </w:p>
    <w:p w:rsidR="00A816AC" w:rsidRPr="006C6879" w:rsidRDefault="00A816AC" w:rsidP="00A816AC">
      <w:pPr>
        <w:pStyle w:val="ListParagraph"/>
        <w:numPr>
          <w:ilvl w:val="0"/>
          <w:numId w:val="18"/>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w:t>
      </w:r>
    </w:p>
    <w:p w:rsidR="00A816AC" w:rsidRPr="006C6879" w:rsidRDefault="00A816AC" w:rsidP="00A816AC">
      <w:pPr>
        <w:pStyle w:val="ListParagraph"/>
        <w:numPr>
          <w:ilvl w:val="0"/>
          <w:numId w:val="18"/>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compliance with any applicable legislation relating to financial matters, financial management and other related matters; and</w:t>
      </w:r>
    </w:p>
    <w:p w:rsidR="00A816AC" w:rsidRPr="006C6879" w:rsidRDefault="00A816AC" w:rsidP="00A816AC">
      <w:pPr>
        <w:pStyle w:val="ListParagraph"/>
        <w:numPr>
          <w:ilvl w:val="0"/>
          <w:numId w:val="18"/>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reported performance of the auditee against its predetermined objectives.</w:t>
      </w:r>
    </w:p>
    <w:p w:rsidR="00A816AC" w:rsidRPr="006C6879" w:rsidRDefault="00A816AC" w:rsidP="00A816AC">
      <w:pPr>
        <w:pStyle w:val="ListParagraph"/>
        <w:numPr>
          <w:ilvl w:val="0"/>
          <w:numId w:val="17"/>
        </w:numPr>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In addition, the Auditor-General may report on whether the auditee’s resources were procured economically and utilised efficiently and effectively.</w:t>
      </w:r>
    </w:p>
    <w:p w:rsidR="003B6303" w:rsidRPr="006C6879" w:rsidRDefault="003B6303" w:rsidP="000957B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sz w:val="24"/>
          <w:szCs w:val="24"/>
        </w:rPr>
        <w:lastRenderedPageBreak/>
        <w:t xml:space="preserve">Section 216 of the Constitution, ‘Treasury control’, provides in subsection (2): </w:t>
      </w:r>
    </w:p>
    <w:p w:rsidR="00AE3E2C" w:rsidRPr="006C6879" w:rsidRDefault="003B6303" w:rsidP="00AE3E2C">
      <w:pPr>
        <w:pStyle w:val="ListParagraph"/>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The national treasury must enforce compliance with the measures established in terms of subsection (1), and may stop the transfer of funds to an organ of state if that organ of state commits a serious or persistent material breach of those measures.</w:t>
      </w:r>
    </w:p>
    <w:p w:rsidR="003B6303" w:rsidRPr="006C6879" w:rsidRDefault="003B6303" w:rsidP="00AE3E2C">
      <w:pPr>
        <w:tabs>
          <w:tab w:val="left" w:pos="284"/>
        </w:tabs>
        <w:spacing w:line="360" w:lineRule="auto"/>
        <w:rPr>
          <w:rFonts w:ascii="Century Schoolbook" w:hAnsi="Century Schoolbook" w:cs="Times New Roman"/>
          <w:sz w:val="24"/>
          <w:szCs w:val="24"/>
        </w:rPr>
      </w:pPr>
      <w:r w:rsidRPr="006C6879">
        <w:rPr>
          <w:rFonts w:ascii="Century Schoolbook" w:hAnsi="Century Schoolbook" w:cs="Times New Roman"/>
          <w:sz w:val="24"/>
          <w:szCs w:val="24"/>
        </w:rPr>
        <w:t>The ‘measures</w:t>
      </w:r>
      <w:r w:rsidR="001C447E" w:rsidRPr="006C6879">
        <w:rPr>
          <w:rFonts w:ascii="Century Schoolbook" w:hAnsi="Century Schoolbook" w:cs="Times New Roman"/>
          <w:sz w:val="24"/>
          <w:szCs w:val="24"/>
        </w:rPr>
        <w:t xml:space="preserve"> established in terms of subsection (1)’ </w:t>
      </w:r>
      <w:r w:rsidR="00F91850" w:rsidRPr="006C6879">
        <w:rPr>
          <w:rFonts w:ascii="Century Schoolbook" w:hAnsi="Century Schoolbook" w:cs="Times New Roman"/>
          <w:sz w:val="24"/>
          <w:szCs w:val="24"/>
        </w:rPr>
        <w:t xml:space="preserve">mentioned in subsection (2) </w:t>
      </w:r>
      <w:r w:rsidR="001C447E" w:rsidRPr="006C6879">
        <w:rPr>
          <w:rFonts w:ascii="Century Schoolbook" w:hAnsi="Century Schoolbook" w:cs="Times New Roman"/>
          <w:sz w:val="24"/>
          <w:szCs w:val="24"/>
        </w:rPr>
        <w:t>are</w:t>
      </w:r>
      <w:r w:rsidR="00F137CA" w:rsidRPr="006C6879">
        <w:rPr>
          <w:rFonts w:ascii="Century Schoolbook" w:hAnsi="Century Schoolbook" w:cs="Times New Roman"/>
          <w:sz w:val="24"/>
          <w:szCs w:val="24"/>
        </w:rPr>
        <w:t xml:space="preserve"> </w:t>
      </w:r>
      <w:r w:rsidR="00F137CA" w:rsidRPr="003C5D62">
        <w:rPr>
          <w:rFonts w:ascii="Century Schoolbook" w:hAnsi="Century Schoolbook" w:cs="Times New Roman"/>
          <w:i/>
          <w:sz w:val="24"/>
          <w:szCs w:val="24"/>
        </w:rPr>
        <w:t>inter alia</w:t>
      </w:r>
      <w:r w:rsidR="00F137CA"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uniform treasury norms and standards.</w:t>
      </w:r>
      <w:r w:rsidR="001C447E" w:rsidRPr="006C6879">
        <w:rPr>
          <w:rFonts w:ascii="Century Schoolbook" w:hAnsi="Century Schoolbook" w:cs="Times New Roman"/>
          <w:sz w:val="24"/>
          <w:szCs w:val="24"/>
        </w:rPr>
        <w:t>’</w:t>
      </w:r>
    </w:p>
    <w:p w:rsidR="00D25AE1" w:rsidRPr="006C6879" w:rsidRDefault="000E20E6" w:rsidP="003D095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LASA’s ‘serious [and] persistent material breach’ over the past decade of ‘uniform treasury norms and standards’</w:t>
      </w:r>
      <w:r w:rsidR="00AD4F35">
        <w:rPr>
          <w:rFonts w:ascii="Century Schoolbook" w:hAnsi="Century Schoolbook" w:cs="Times New Roman"/>
          <w:sz w:val="24"/>
          <w:szCs w:val="24"/>
        </w:rPr>
        <w:t>, some criminal,</w:t>
      </w:r>
      <w:r w:rsidRPr="006C6879">
        <w:rPr>
          <w:rFonts w:ascii="Century Schoolbook" w:hAnsi="Century Schoolbook" w:cs="Times New Roman"/>
          <w:sz w:val="24"/>
          <w:szCs w:val="24"/>
        </w:rPr>
        <w:t xml:space="preserve"> will be </w:t>
      </w:r>
      <w:r w:rsidR="00F15474" w:rsidRPr="006C6879">
        <w:rPr>
          <w:rFonts w:ascii="Century Schoolbook" w:hAnsi="Century Schoolbook" w:cs="Times New Roman"/>
          <w:sz w:val="24"/>
          <w:szCs w:val="24"/>
        </w:rPr>
        <w:t>particularis</w:t>
      </w:r>
      <w:r w:rsidRPr="006C6879">
        <w:rPr>
          <w:rFonts w:ascii="Century Schoolbook" w:hAnsi="Century Schoolbook" w:cs="Times New Roman"/>
          <w:sz w:val="24"/>
          <w:szCs w:val="24"/>
        </w:rPr>
        <w:t>ed with reference to specific contraventions of the PFMA cited and quoted</w:t>
      </w:r>
      <w:r w:rsidR="00AD4F35" w:rsidRPr="00AD4F35">
        <w:rPr>
          <w:rFonts w:ascii="Century Schoolbook" w:hAnsi="Century Schoolbook" w:cs="Times New Roman"/>
          <w:sz w:val="24"/>
          <w:szCs w:val="24"/>
        </w:rPr>
        <w:t xml:space="preserve"> </w:t>
      </w:r>
      <w:r w:rsidR="00AD4F35" w:rsidRPr="006C6879">
        <w:rPr>
          <w:rFonts w:ascii="Century Schoolbook" w:hAnsi="Century Schoolbook" w:cs="Times New Roman"/>
          <w:sz w:val="24"/>
          <w:szCs w:val="24"/>
        </w:rPr>
        <w:t>below</w:t>
      </w:r>
      <w:r w:rsidRPr="006C6879">
        <w:rPr>
          <w:rFonts w:ascii="Century Schoolbook" w:hAnsi="Century Schoolbook" w:cs="Times New Roman"/>
          <w:sz w:val="24"/>
          <w:szCs w:val="24"/>
        </w:rPr>
        <w:t>.</w:t>
      </w:r>
      <w:r w:rsidR="00983DA9" w:rsidRPr="006C6879">
        <w:rPr>
          <w:rFonts w:ascii="Century Schoolbook" w:hAnsi="Century Schoolbook" w:cs="Times New Roman"/>
          <w:sz w:val="24"/>
          <w:szCs w:val="24"/>
        </w:rPr>
        <w:t xml:space="preserve"> </w:t>
      </w:r>
      <w:r w:rsidR="009435DC" w:rsidRPr="006C6879">
        <w:rPr>
          <w:rFonts w:ascii="Century Schoolbook" w:hAnsi="Century Schoolbook" w:cs="Times New Roman"/>
          <w:sz w:val="24"/>
          <w:szCs w:val="24"/>
        </w:rPr>
        <w:t>A</w:t>
      </w:r>
      <w:r w:rsidR="00E93CF4">
        <w:rPr>
          <w:rFonts w:ascii="Century Schoolbook" w:hAnsi="Century Schoolbook" w:cs="Times New Roman"/>
          <w:sz w:val="24"/>
          <w:szCs w:val="24"/>
        </w:rPr>
        <w:t xml:space="preserve"> </w:t>
      </w:r>
      <w:r w:rsidR="009435DC" w:rsidRPr="006C6879">
        <w:rPr>
          <w:rFonts w:ascii="Century Schoolbook" w:hAnsi="Century Schoolbook" w:cs="Times New Roman"/>
          <w:sz w:val="24"/>
          <w:szCs w:val="24"/>
        </w:rPr>
        <w:t xml:space="preserve">multitude of </w:t>
      </w:r>
      <w:r w:rsidR="00442C2B" w:rsidRPr="006C6879">
        <w:rPr>
          <w:rFonts w:ascii="Century Schoolbook" w:hAnsi="Century Schoolbook" w:cs="Times New Roman"/>
          <w:sz w:val="24"/>
          <w:szCs w:val="24"/>
        </w:rPr>
        <w:t>unlawful</w:t>
      </w:r>
      <w:r w:rsidR="009435DC" w:rsidRPr="006C6879">
        <w:rPr>
          <w:rFonts w:ascii="Century Schoolbook" w:hAnsi="Century Schoolbook" w:cs="Times New Roman"/>
          <w:sz w:val="24"/>
          <w:szCs w:val="24"/>
        </w:rPr>
        <w:t xml:space="preserve"> material irregularities</w:t>
      </w:r>
      <w:r w:rsidR="00347010">
        <w:rPr>
          <w:rFonts w:ascii="Century Schoolbook" w:hAnsi="Century Schoolbook" w:cs="Times New Roman"/>
          <w:sz w:val="24"/>
          <w:szCs w:val="24"/>
        </w:rPr>
        <w:t xml:space="preserve"> within the purview of section 1 of the PAA</w:t>
      </w:r>
      <w:r w:rsidR="00AD4F35">
        <w:rPr>
          <w:rFonts w:ascii="Century Schoolbook" w:hAnsi="Century Schoolbook" w:cs="Times New Roman"/>
          <w:sz w:val="24"/>
          <w:szCs w:val="24"/>
        </w:rPr>
        <w:t>, some criminal,</w:t>
      </w:r>
      <w:r w:rsidR="009435DC" w:rsidRPr="006C6879">
        <w:rPr>
          <w:rFonts w:ascii="Century Schoolbook" w:hAnsi="Century Schoolbook" w:cs="Times New Roman"/>
          <w:sz w:val="24"/>
          <w:szCs w:val="24"/>
        </w:rPr>
        <w:t xml:space="preserve"> will </w:t>
      </w:r>
      <w:r w:rsidR="00347010" w:rsidRPr="006C6879">
        <w:rPr>
          <w:rFonts w:ascii="Century Schoolbook" w:hAnsi="Century Schoolbook" w:cs="Times New Roman"/>
          <w:sz w:val="24"/>
          <w:szCs w:val="24"/>
        </w:rPr>
        <w:t xml:space="preserve">likewise </w:t>
      </w:r>
      <w:r w:rsidR="009435DC" w:rsidRPr="006C6879">
        <w:rPr>
          <w:rFonts w:ascii="Century Schoolbook" w:hAnsi="Century Schoolbook" w:cs="Times New Roman"/>
          <w:sz w:val="24"/>
          <w:szCs w:val="24"/>
        </w:rPr>
        <w:t xml:space="preserve">be detailed </w:t>
      </w:r>
      <w:r w:rsidR="00153426">
        <w:rPr>
          <w:rFonts w:ascii="Century Schoolbook" w:hAnsi="Century Schoolbook" w:cs="Times New Roman"/>
          <w:sz w:val="24"/>
          <w:szCs w:val="24"/>
        </w:rPr>
        <w:t>in this</w:t>
      </w:r>
      <w:r w:rsidR="00E52A6F">
        <w:rPr>
          <w:rFonts w:ascii="Century Schoolbook" w:hAnsi="Century Schoolbook" w:cs="Times New Roman"/>
          <w:sz w:val="24"/>
          <w:szCs w:val="24"/>
        </w:rPr>
        <w:t xml:space="preserve"> first p</w:t>
      </w:r>
      <w:r w:rsidR="00153426">
        <w:rPr>
          <w:rFonts w:ascii="Century Schoolbook" w:hAnsi="Century Schoolbook" w:cs="Times New Roman"/>
          <w:sz w:val="24"/>
          <w:szCs w:val="24"/>
        </w:rPr>
        <w:t>art</w:t>
      </w:r>
      <w:r w:rsidR="00E52A6F">
        <w:rPr>
          <w:rFonts w:ascii="Century Schoolbook" w:hAnsi="Century Schoolbook" w:cs="Times New Roman"/>
          <w:sz w:val="24"/>
          <w:szCs w:val="24"/>
        </w:rPr>
        <w:t xml:space="preserve"> </w:t>
      </w:r>
      <w:r w:rsidR="00680445">
        <w:rPr>
          <w:rFonts w:ascii="Century Schoolbook" w:hAnsi="Century Schoolbook" w:cs="Times New Roman"/>
          <w:sz w:val="24"/>
          <w:szCs w:val="24"/>
        </w:rPr>
        <w:t>of th</w:t>
      </w:r>
      <w:r w:rsidR="00E52A6F">
        <w:rPr>
          <w:rFonts w:ascii="Century Schoolbook" w:hAnsi="Century Schoolbook" w:cs="Times New Roman"/>
          <w:sz w:val="24"/>
          <w:szCs w:val="24"/>
        </w:rPr>
        <w:t>e</w:t>
      </w:r>
      <w:r w:rsidR="00680445">
        <w:rPr>
          <w:rFonts w:ascii="Century Schoolbook" w:hAnsi="Century Schoolbook" w:cs="Times New Roman"/>
          <w:sz w:val="24"/>
          <w:szCs w:val="24"/>
        </w:rPr>
        <w:t xml:space="preserve"> complaint </w:t>
      </w:r>
      <w:r w:rsidR="00153426">
        <w:rPr>
          <w:rFonts w:ascii="Century Schoolbook" w:hAnsi="Century Schoolbook" w:cs="Times New Roman"/>
          <w:sz w:val="24"/>
          <w:szCs w:val="24"/>
        </w:rPr>
        <w:t xml:space="preserve">and in </w:t>
      </w:r>
      <w:r w:rsidR="001353E6">
        <w:rPr>
          <w:rFonts w:ascii="Century Schoolbook" w:hAnsi="Century Schoolbook" w:cs="Times New Roman"/>
          <w:sz w:val="24"/>
          <w:szCs w:val="24"/>
        </w:rPr>
        <w:t>other</w:t>
      </w:r>
      <w:r w:rsidR="00680445">
        <w:rPr>
          <w:rFonts w:ascii="Century Schoolbook" w:hAnsi="Century Schoolbook" w:cs="Times New Roman"/>
          <w:sz w:val="24"/>
          <w:szCs w:val="24"/>
        </w:rPr>
        <w:t xml:space="preserve"> </w:t>
      </w:r>
      <w:r w:rsidR="007864BA">
        <w:rPr>
          <w:rFonts w:ascii="Century Schoolbook" w:hAnsi="Century Schoolbook" w:cs="Times New Roman"/>
          <w:sz w:val="24"/>
          <w:szCs w:val="24"/>
        </w:rPr>
        <w:t>p</w:t>
      </w:r>
      <w:r w:rsidR="00680445">
        <w:rPr>
          <w:rFonts w:ascii="Century Schoolbook" w:hAnsi="Century Schoolbook" w:cs="Times New Roman"/>
          <w:sz w:val="24"/>
          <w:szCs w:val="24"/>
        </w:rPr>
        <w:t>arts</w:t>
      </w:r>
      <w:r w:rsidR="00153426">
        <w:rPr>
          <w:rFonts w:ascii="Century Schoolbook" w:hAnsi="Century Schoolbook" w:cs="Times New Roman"/>
          <w:sz w:val="24"/>
          <w:szCs w:val="24"/>
        </w:rPr>
        <w:t xml:space="preserve"> to follow</w:t>
      </w:r>
      <w:r w:rsidR="00983DA9" w:rsidRPr="006C6879">
        <w:rPr>
          <w:rFonts w:ascii="Century Schoolbook" w:hAnsi="Century Schoolbook" w:cs="Times New Roman"/>
          <w:sz w:val="24"/>
          <w:szCs w:val="24"/>
        </w:rPr>
        <w:t>.</w:t>
      </w:r>
    </w:p>
    <w:p w:rsidR="003E6023" w:rsidRPr="00AC21BD" w:rsidRDefault="003E6023" w:rsidP="003E6023">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AC21BD">
        <w:rPr>
          <w:rFonts w:ascii="Century Schoolbook" w:hAnsi="Century Schoolbook" w:cs="Times New Roman"/>
          <w:b/>
          <w:sz w:val="24"/>
          <w:szCs w:val="24"/>
        </w:rPr>
        <w:t xml:space="preserve">LASA’S </w:t>
      </w:r>
      <w:r w:rsidR="00AC21BD" w:rsidRPr="00AC21BD">
        <w:rPr>
          <w:rFonts w:ascii="Century Schoolbook" w:hAnsi="Century Schoolbook" w:cs="Times New Roman"/>
          <w:b/>
          <w:sz w:val="24"/>
          <w:szCs w:val="24"/>
        </w:rPr>
        <w:t>CREATION OF ITS SENIOR LITIGATOR POSTS, AND</w:t>
      </w:r>
      <w:r w:rsidR="00A77F60">
        <w:rPr>
          <w:rFonts w:ascii="Century Schoolbook" w:hAnsi="Century Schoolbook" w:cs="Times New Roman"/>
          <w:b/>
          <w:sz w:val="24"/>
          <w:szCs w:val="24"/>
        </w:rPr>
        <w:t xml:space="preserve"> </w:t>
      </w:r>
      <w:r w:rsidR="002A0259">
        <w:rPr>
          <w:rFonts w:ascii="Century Schoolbook" w:hAnsi="Century Schoolbook" w:cs="Times New Roman"/>
          <w:b/>
          <w:sz w:val="24"/>
          <w:szCs w:val="24"/>
        </w:rPr>
        <w:t xml:space="preserve">ITS </w:t>
      </w:r>
      <w:r w:rsidR="00AC21BD" w:rsidRPr="00AC21BD">
        <w:rPr>
          <w:rFonts w:ascii="Century Schoolbook" w:hAnsi="Century Schoolbook" w:cs="Times New Roman"/>
          <w:b/>
          <w:sz w:val="24"/>
          <w:szCs w:val="24"/>
        </w:rPr>
        <w:t>REASON</w:t>
      </w:r>
      <w:r w:rsidRPr="00AC21BD">
        <w:rPr>
          <w:rFonts w:ascii="Century Schoolbook" w:hAnsi="Century Schoolbook" w:cs="Times New Roman"/>
          <w:b/>
          <w:sz w:val="24"/>
          <w:szCs w:val="24"/>
        </w:rPr>
        <w:t xml:space="preserve"> </w:t>
      </w:r>
      <w:r w:rsidR="00AC21BD">
        <w:rPr>
          <w:rFonts w:ascii="Century Schoolbook" w:hAnsi="Century Schoolbook" w:cs="Times New Roman"/>
          <w:b/>
          <w:sz w:val="24"/>
          <w:szCs w:val="24"/>
        </w:rPr>
        <w:t xml:space="preserve">FOR </w:t>
      </w:r>
      <w:r w:rsidR="00A77F60">
        <w:rPr>
          <w:rFonts w:ascii="Century Schoolbook" w:hAnsi="Century Schoolbook" w:cs="Times New Roman"/>
          <w:b/>
          <w:sz w:val="24"/>
          <w:szCs w:val="24"/>
        </w:rPr>
        <w:t>DOING SO</w:t>
      </w:r>
    </w:p>
    <w:p w:rsidR="00E77B92" w:rsidRPr="006C6879" w:rsidRDefault="00E77B92" w:rsidP="003E6023">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In November 2006, </w:t>
      </w:r>
      <w:r w:rsidR="00303862" w:rsidRPr="006C6879">
        <w:rPr>
          <w:rFonts w:ascii="Century Schoolbook" w:hAnsi="Century Schoolbook" w:cs="Times New Roman"/>
          <w:sz w:val="24"/>
          <w:szCs w:val="24"/>
        </w:rPr>
        <w:t xml:space="preserve">LASA </w:t>
      </w:r>
      <w:r w:rsidRPr="006C6879">
        <w:rPr>
          <w:rFonts w:ascii="Century Schoolbook" w:hAnsi="Century Schoolbook" w:cs="Times New Roman"/>
          <w:sz w:val="24"/>
          <w:szCs w:val="24"/>
        </w:rPr>
        <w:t>CEO Vedalankar, NOE Nair and the</w:t>
      </w:r>
      <w:r w:rsidR="00857B62" w:rsidRPr="006C6879">
        <w:rPr>
          <w:rFonts w:ascii="Century Schoolbook" w:hAnsi="Century Schoolbook" w:cs="Times New Roman"/>
          <w:sz w:val="24"/>
          <w:szCs w:val="24"/>
        </w:rPr>
        <w:t xml:space="preserve">ir </w:t>
      </w:r>
      <w:r w:rsidR="00303862" w:rsidRPr="006C6879">
        <w:rPr>
          <w:rFonts w:ascii="Century Schoolbook" w:hAnsi="Century Schoolbook" w:cs="Times New Roman"/>
          <w:sz w:val="24"/>
          <w:szCs w:val="24"/>
        </w:rPr>
        <w:t xml:space="preserve">Management Executive Committee </w:t>
      </w:r>
      <w:r w:rsidR="00857B62" w:rsidRPr="006C6879">
        <w:rPr>
          <w:rFonts w:ascii="Century Schoolbook" w:hAnsi="Century Schoolbook" w:cs="Times New Roman"/>
          <w:sz w:val="24"/>
          <w:szCs w:val="24"/>
        </w:rPr>
        <w:t xml:space="preserve">colleagues </w:t>
      </w:r>
      <w:r w:rsidRPr="006C6879">
        <w:rPr>
          <w:rFonts w:ascii="Century Schoolbook" w:hAnsi="Century Schoolbook" w:cs="Times New Roman"/>
          <w:sz w:val="24"/>
          <w:szCs w:val="24"/>
        </w:rPr>
        <w:t>submitted a ‘Report to Board’ in which they proposed ‘Increasing Senior Litigation capacity’ to remedy LASA’s lack of:</w:t>
      </w:r>
    </w:p>
    <w:p w:rsidR="00E77B92" w:rsidRPr="006C6879" w:rsidRDefault="00E77B92" w:rsidP="00E77B92">
      <w:pPr>
        <w:pStyle w:val="ListParagraph"/>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professional staff that are senior enough to take on … cases of a highly complex nature ... It is proposed that we build up such capacity at each province linked to a high court unit. Such senior litigators would be able to undertake more complex work as well as support and mentor our other High Court staff.</w:t>
      </w:r>
      <w:r w:rsidRPr="006C6879">
        <w:rPr>
          <w:rStyle w:val="FootnoteReference"/>
          <w:rFonts w:ascii="Century Schoolbook" w:hAnsi="Century Schoolbook" w:cs="Times New Roman"/>
          <w:sz w:val="24"/>
          <w:szCs w:val="24"/>
        </w:rPr>
        <w:footnoteReference w:id="23"/>
      </w:r>
    </w:p>
    <w:p w:rsidR="00E77B92" w:rsidRPr="00B02BD4" w:rsidRDefault="00E77B92" w:rsidP="004C1711">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B02BD4">
        <w:rPr>
          <w:rFonts w:ascii="Century Schoolbook" w:hAnsi="Century Schoolbook" w:cs="Times New Roman"/>
          <w:sz w:val="24"/>
          <w:szCs w:val="24"/>
        </w:rPr>
        <w:t>Nine such Senior Litigator posts were proposed,</w:t>
      </w:r>
      <w:r w:rsidR="00AB7E2D" w:rsidRPr="00B02BD4">
        <w:rPr>
          <w:rStyle w:val="FootnoteReference"/>
          <w:rFonts w:ascii="Century Schoolbook" w:hAnsi="Century Schoolbook" w:cs="Times New Roman"/>
          <w:sz w:val="24"/>
          <w:szCs w:val="24"/>
        </w:rPr>
        <w:footnoteReference w:id="24"/>
      </w:r>
      <w:r w:rsidRPr="00B02BD4">
        <w:rPr>
          <w:rFonts w:ascii="Century Schoolbook" w:hAnsi="Century Schoolbook" w:cs="Times New Roman"/>
          <w:sz w:val="24"/>
          <w:szCs w:val="24"/>
        </w:rPr>
        <w:t xml:space="preserve"> for which </w:t>
      </w:r>
      <w:r w:rsidR="006B1E2A" w:rsidRPr="00B02BD4">
        <w:rPr>
          <w:rFonts w:ascii="Century Schoolbook" w:hAnsi="Century Schoolbook" w:cs="Times New Roman"/>
          <w:sz w:val="24"/>
          <w:szCs w:val="24"/>
        </w:rPr>
        <w:t>the</w:t>
      </w:r>
      <w:r w:rsidR="00E54E75">
        <w:rPr>
          <w:rFonts w:ascii="Century Schoolbook" w:hAnsi="Century Schoolbook" w:cs="Times New Roman"/>
          <w:sz w:val="24"/>
          <w:szCs w:val="24"/>
        </w:rPr>
        <w:t xml:space="preserve"> motivation recorded there</w:t>
      </w:r>
      <w:r w:rsidR="006B1E2A" w:rsidRPr="00B02BD4">
        <w:rPr>
          <w:rFonts w:ascii="Century Schoolbook" w:hAnsi="Century Schoolbook" w:cs="Times New Roman"/>
          <w:sz w:val="24"/>
          <w:szCs w:val="24"/>
        </w:rPr>
        <w:t xml:space="preserve"> </w:t>
      </w:r>
      <w:r w:rsidRPr="00B02BD4">
        <w:rPr>
          <w:rFonts w:ascii="Century Schoolbook" w:hAnsi="Century Schoolbook" w:cs="Times New Roman"/>
          <w:sz w:val="24"/>
          <w:szCs w:val="24"/>
        </w:rPr>
        <w:t>was ‘Funding available’.</w:t>
      </w:r>
      <w:r w:rsidRPr="00B02BD4">
        <w:rPr>
          <w:rStyle w:val="FootnoteReference"/>
          <w:rFonts w:ascii="Century Schoolbook" w:hAnsi="Century Schoolbook" w:cs="Times New Roman"/>
          <w:sz w:val="24"/>
          <w:szCs w:val="24"/>
        </w:rPr>
        <w:footnoteReference w:id="25"/>
      </w:r>
      <w:r w:rsidRPr="00B02BD4">
        <w:rPr>
          <w:rFonts w:ascii="Century Schoolbook" w:hAnsi="Century Schoolbook" w:cs="Times New Roman"/>
          <w:sz w:val="24"/>
          <w:szCs w:val="24"/>
        </w:rPr>
        <w:t xml:space="preserve"> </w:t>
      </w:r>
    </w:p>
    <w:p w:rsidR="000D0923" w:rsidRPr="00B02BD4" w:rsidRDefault="00106A77" w:rsidP="00E77B9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B02BD4">
        <w:rPr>
          <w:rFonts w:ascii="Century Schoolbook" w:hAnsi="Century Schoolbook" w:cs="Times New Roman"/>
          <w:sz w:val="24"/>
          <w:szCs w:val="24"/>
        </w:rPr>
        <w:lastRenderedPageBreak/>
        <w:t>O</w:t>
      </w:r>
      <w:r w:rsidR="00E77B92" w:rsidRPr="00B02BD4">
        <w:rPr>
          <w:rFonts w:ascii="Century Schoolbook" w:hAnsi="Century Schoolbook" w:cs="Times New Roman"/>
          <w:sz w:val="24"/>
          <w:szCs w:val="24"/>
        </w:rPr>
        <w:t xml:space="preserve">n 24 November 2006, </w:t>
      </w:r>
      <w:r w:rsidR="0031303C">
        <w:rPr>
          <w:rFonts w:ascii="Century Schoolbook" w:hAnsi="Century Schoolbook" w:cs="Times New Roman"/>
          <w:sz w:val="24"/>
          <w:szCs w:val="24"/>
        </w:rPr>
        <w:t xml:space="preserve">the </w:t>
      </w:r>
      <w:r w:rsidR="00E77B92" w:rsidRPr="00B02BD4">
        <w:rPr>
          <w:rFonts w:ascii="Century Schoolbook" w:hAnsi="Century Schoolbook" w:cs="Times New Roman"/>
          <w:sz w:val="24"/>
          <w:szCs w:val="24"/>
        </w:rPr>
        <w:t xml:space="preserve">Board approved </w:t>
      </w:r>
      <w:r w:rsidR="000C2632">
        <w:rPr>
          <w:rFonts w:ascii="Century Schoolbook" w:hAnsi="Century Schoolbook" w:cs="Times New Roman"/>
          <w:sz w:val="24"/>
          <w:szCs w:val="24"/>
        </w:rPr>
        <w:t xml:space="preserve">the </w:t>
      </w:r>
      <w:r w:rsidR="00E77B92" w:rsidRPr="00B02BD4">
        <w:rPr>
          <w:rFonts w:ascii="Century Schoolbook" w:hAnsi="Century Schoolbook" w:cs="Times New Roman"/>
          <w:sz w:val="24"/>
          <w:szCs w:val="24"/>
        </w:rPr>
        <w:t>proposal</w:t>
      </w:r>
      <w:r w:rsidR="00C00277">
        <w:rPr>
          <w:rFonts w:ascii="Century Schoolbook" w:hAnsi="Century Schoolbook" w:cs="Times New Roman"/>
          <w:sz w:val="24"/>
          <w:szCs w:val="24"/>
        </w:rPr>
        <w:t>,</w:t>
      </w:r>
      <w:r w:rsidR="00E32981" w:rsidRPr="00B02BD4">
        <w:rPr>
          <w:rStyle w:val="FootnoteReference"/>
          <w:rFonts w:ascii="Century Schoolbook" w:hAnsi="Century Schoolbook" w:cs="Times New Roman"/>
          <w:sz w:val="24"/>
          <w:szCs w:val="24"/>
        </w:rPr>
        <w:footnoteReference w:id="26"/>
      </w:r>
      <w:r w:rsidR="00E77B92" w:rsidRPr="00B02BD4">
        <w:rPr>
          <w:rFonts w:ascii="Century Schoolbook" w:hAnsi="Century Schoolbook" w:cs="Times New Roman"/>
          <w:sz w:val="24"/>
          <w:szCs w:val="24"/>
        </w:rPr>
        <w:t xml:space="preserve"> and the posts were duly created</w:t>
      </w:r>
      <w:r w:rsidR="006313E7">
        <w:rPr>
          <w:rFonts w:ascii="Century Schoolbook" w:hAnsi="Century Schoolbook" w:cs="Times New Roman"/>
          <w:sz w:val="24"/>
          <w:szCs w:val="24"/>
        </w:rPr>
        <w:t xml:space="preserve"> and </w:t>
      </w:r>
      <w:r w:rsidR="0031303C">
        <w:rPr>
          <w:rFonts w:ascii="Century Schoolbook" w:hAnsi="Century Schoolbook" w:cs="Times New Roman"/>
          <w:sz w:val="24"/>
          <w:szCs w:val="24"/>
        </w:rPr>
        <w:t xml:space="preserve">subsequently </w:t>
      </w:r>
      <w:r w:rsidR="006313E7">
        <w:rPr>
          <w:rFonts w:ascii="Century Schoolbook" w:hAnsi="Century Schoolbook" w:cs="Times New Roman"/>
          <w:sz w:val="24"/>
          <w:szCs w:val="24"/>
        </w:rPr>
        <w:t>advertised</w:t>
      </w:r>
      <w:r w:rsidR="00E77B92" w:rsidRPr="00B02BD4">
        <w:rPr>
          <w:rFonts w:ascii="Century Schoolbook" w:hAnsi="Century Schoolbook" w:cs="Times New Roman"/>
          <w:sz w:val="24"/>
          <w:szCs w:val="24"/>
        </w:rPr>
        <w:t>.</w:t>
      </w:r>
      <w:r w:rsidR="00E77B92" w:rsidRPr="00B02BD4">
        <w:rPr>
          <w:rStyle w:val="FootnoteReference"/>
          <w:rFonts w:ascii="Century Schoolbook" w:hAnsi="Century Schoolbook" w:cs="Times New Roman"/>
          <w:sz w:val="24"/>
          <w:szCs w:val="24"/>
        </w:rPr>
        <w:footnoteReference w:id="27"/>
      </w:r>
      <w:r w:rsidR="00E77B92" w:rsidRPr="00B02BD4">
        <w:rPr>
          <w:rFonts w:ascii="Century Schoolbook" w:hAnsi="Century Schoolbook" w:cs="Times New Roman"/>
          <w:sz w:val="24"/>
          <w:szCs w:val="24"/>
        </w:rPr>
        <w:t xml:space="preserve"> </w:t>
      </w:r>
    </w:p>
    <w:p w:rsidR="00106A77" w:rsidRPr="000E5C38" w:rsidRDefault="00AE555E" w:rsidP="00106A7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I</w:t>
      </w:r>
      <w:r w:rsidRPr="006C6879">
        <w:rPr>
          <w:rFonts w:ascii="Century Schoolbook" w:hAnsi="Century Schoolbook" w:cs="Times New Roman"/>
          <w:sz w:val="24"/>
          <w:szCs w:val="24"/>
        </w:rPr>
        <w:t>n view of their high population densities and corresponding greater need for them</w:t>
      </w:r>
      <w:r>
        <w:rPr>
          <w:rFonts w:ascii="Century Schoolbook" w:hAnsi="Century Schoolbook" w:cs="Times New Roman"/>
          <w:sz w:val="24"/>
          <w:szCs w:val="24"/>
        </w:rPr>
        <w:t>,</w:t>
      </w:r>
      <w:r w:rsidR="00F77C95" w:rsidRPr="006C6879">
        <w:rPr>
          <w:rFonts w:ascii="Century Schoolbook" w:hAnsi="Century Schoolbook" w:cs="Times New Roman"/>
          <w:sz w:val="24"/>
          <w:szCs w:val="24"/>
        </w:rPr>
        <w:t xml:space="preserve"> KwaZulu-Natal and Gauteng were allocated two Senior Litigator posts e</w:t>
      </w:r>
      <w:r w:rsidR="00F77C95" w:rsidRPr="000E5C38">
        <w:rPr>
          <w:rFonts w:ascii="Century Schoolbook" w:hAnsi="Century Schoolbook" w:cs="Times New Roman"/>
          <w:sz w:val="24"/>
          <w:szCs w:val="24"/>
        </w:rPr>
        <w:t>ach</w:t>
      </w:r>
      <w:r>
        <w:rPr>
          <w:rFonts w:ascii="Century Schoolbook" w:hAnsi="Century Schoolbook" w:cs="Times New Roman"/>
          <w:sz w:val="24"/>
          <w:szCs w:val="24"/>
        </w:rPr>
        <w:t>.</w:t>
      </w:r>
      <w:r w:rsidR="00F77C95" w:rsidRPr="000E5C38">
        <w:rPr>
          <w:rStyle w:val="FootnoteReference"/>
          <w:rFonts w:ascii="Century Schoolbook" w:hAnsi="Century Schoolbook" w:cs="Times New Roman"/>
          <w:sz w:val="24"/>
          <w:szCs w:val="24"/>
        </w:rPr>
        <w:footnoteReference w:id="28"/>
      </w:r>
      <w:r w:rsidR="00106A77" w:rsidRPr="006C6879">
        <w:rPr>
          <w:rFonts w:ascii="Century Schoolbook" w:hAnsi="Century Schoolbook" w:cs="Times New Roman"/>
          <w:sz w:val="24"/>
          <w:szCs w:val="24"/>
        </w:rPr>
        <w:t xml:space="preserve"> </w:t>
      </w:r>
      <w:r w:rsidR="00157334">
        <w:rPr>
          <w:rFonts w:ascii="Century Schoolbook" w:hAnsi="Century Schoolbook" w:cs="Times New Roman"/>
          <w:sz w:val="24"/>
          <w:szCs w:val="24"/>
        </w:rPr>
        <w:t xml:space="preserve">Particularly relevant to the KwaZulu-Natal posts, </w:t>
      </w:r>
      <w:r w:rsidR="000E5C38" w:rsidRPr="000E5C38">
        <w:rPr>
          <w:rFonts w:ascii="Century Schoolbook" w:hAnsi="Century Schoolbook" w:cs="Arial"/>
          <w:color w:val="000000" w:themeColor="text1"/>
          <w:sz w:val="24"/>
          <w:szCs w:val="24"/>
        </w:rPr>
        <w:t>NOE Nair</w:t>
      </w:r>
      <w:r w:rsidR="00157334">
        <w:rPr>
          <w:rFonts w:ascii="Century Schoolbook" w:hAnsi="Century Schoolbook" w:cs="Arial"/>
          <w:color w:val="000000" w:themeColor="text1"/>
          <w:sz w:val="24"/>
          <w:szCs w:val="24"/>
        </w:rPr>
        <w:t xml:space="preserve"> has pointed out that</w:t>
      </w:r>
      <w:r w:rsidR="000E5C38" w:rsidRPr="000E5C38">
        <w:rPr>
          <w:rFonts w:ascii="Century Schoolbook" w:hAnsi="Century Schoolbook" w:cs="Arial"/>
          <w:color w:val="000000" w:themeColor="text1"/>
          <w:sz w:val="24"/>
          <w:szCs w:val="24"/>
        </w:rPr>
        <w:t xml:space="preserve"> it’s in the ‘rural areas’ that the ‘demand [for] </w:t>
      </w:r>
      <w:r>
        <w:rPr>
          <w:rFonts w:ascii="Century Schoolbook" w:hAnsi="Century Schoolbook" w:cs="Arial"/>
          <w:color w:val="000000" w:themeColor="text1"/>
          <w:sz w:val="24"/>
          <w:szCs w:val="24"/>
        </w:rPr>
        <w:t>c</w:t>
      </w:r>
      <w:r w:rsidR="000E5C38" w:rsidRPr="000E5C38">
        <w:rPr>
          <w:rFonts w:ascii="Century Schoolbook" w:hAnsi="Century Schoolbook" w:cs="Arial"/>
          <w:color w:val="000000" w:themeColor="text1"/>
          <w:sz w:val="24"/>
          <w:szCs w:val="24"/>
        </w:rPr>
        <w:t>ivil legal aid … was bigger’;</w:t>
      </w:r>
      <w:r w:rsidR="000E5C38" w:rsidRPr="000E5C38">
        <w:rPr>
          <w:rStyle w:val="FootnoteReference"/>
          <w:rFonts w:ascii="Century Schoolbook" w:hAnsi="Century Schoolbook" w:cs="Arial"/>
          <w:color w:val="000000" w:themeColor="text1"/>
          <w:sz w:val="24"/>
          <w:szCs w:val="24"/>
        </w:rPr>
        <w:footnoteReference w:id="29"/>
      </w:r>
      <w:r w:rsidR="00F77C95">
        <w:rPr>
          <w:rFonts w:ascii="Century Schoolbook" w:hAnsi="Century Schoolbook" w:cs="Arial"/>
          <w:color w:val="000000" w:themeColor="text1"/>
          <w:sz w:val="24"/>
          <w:szCs w:val="24"/>
        </w:rPr>
        <w:t xml:space="preserve"> </w:t>
      </w:r>
      <w:r w:rsidR="000E5C38" w:rsidRPr="000E5C38">
        <w:rPr>
          <w:rFonts w:ascii="Century Schoolbook" w:hAnsi="Century Schoolbook" w:cs="Arial"/>
          <w:color w:val="000000" w:themeColor="text1"/>
          <w:sz w:val="24"/>
          <w:szCs w:val="24"/>
        </w:rPr>
        <w:t xml:space="preserve">and </w:t>
      </w:r>
      <w:r w:rsidR="00F77C95">
        <w:rPr>
          <w:rFonts w:ascii="Century Schoolbook" w:hAnsi="Century Schoolbook" w:cs="Arial"/>
          <w:color w:val="000000" w:themeColor="text1"/>
          <w:sz w:val="24"/>
          <w:szCs w:val="24"/>
        </w:rPr>
        <w:t xml:space="preserve">chairperson </w:t>
      </w:r>
      <w:r w:rsidR="000E5C38" w:rsidRPr="000E5C38">
        <w:rPr>
          <w:rFonts w:ascii="Century Schoolbook" w:hAnsi="Century Schoolbook" w:cs="Arial"/>
          <w:color w:val="000000" w:themeColor="text1"/>
          <w:sz w:val="24"/>
          <w:szCs w:val="24"/>
        </w:rPr>
        <w:t xml:space="preserve">Mlambo JP </w:t>
      </w:r>
      <w:r w:rsidR="000009FC">
        <w:rPr>
          <w:rFonts w:ascii="Century Schoolbook" w:hAnsi="Century Schoolbook" w:cs="Arial"/>
          <w:color w:val="000000" w:themeColor="text1"/>
          <w:sz w:val="24"/>
          <w:szCs w:val="24"/>
        </w:rPr>
        <w:t xml:space="preserve">has </w:t>
      </w:r>
      <w:r w:rsidR="000E5C38" w:rsidRPr="000E5C38">
        <w:rPr>
          <w:rFonts w:ascii="Century Schoolbook" w:hAnsi="Century Schoolbook" w:cs="Arial"/>
          <w:color w:val="000000" w:themeColor="text1"/>
          <w:sz w:val="24"/>
          <w:szCs w:val="24"/>
        </w:rPr>
        <w:t>‘agreed that there was still much to be done in reaching the rural poor’.</w:t>
      </w:r>
      <w:r w:rsidR="000E5C38" w:rsidRPr="000E5C38">
        <w:rPr>
          <w:rStyle w:val="FootnoteReference"/>
          <w:rFonts w:ascii="Century Schoolbook" w:hAnsi="Century Schoolbook" w:cs="Arial"/>
          <w:color w:val="000000" w:themeColor="text1"/>
          <w:sz w:val="24"/>
          <w:szCs w:val="24"/>
        </w:rPr>
        <w:footnoteReference w:id="30"/>
      </w:r>
    </w:p>
    <w:p w:rsidR="00E77B92" w:rsidRDefault="00E77B92" w:rsidP="00E77B9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At grade LP10</w:t>
      </w:r>
      <w:r w:rsidRPr="006C6879">
        <w:rPr>
          <w:rStyle w:val="FootnoteReference"/>
          <w:rFonts w:ascii="Century Schoolbook" w:hAnsi="Century Schoolbook" w:cs="Times New Roman"/>
          <w:sz w:val="24"/>
          <w:szCs w:val="24"/>
        </w:rPr>
        <w:footnoteReference w:id="31"/>
      </w:r>
      <w:r w:rsidRPr="006C6879">
        <w:rPr>
          <w:rFonts w:ascii="Century Schoolbook" w:hAnsi="Century Schoolbook" w:cs="Times New Roman"/>
          <w:sz w:val="24"/>
          <w:szCs w:val="24"/>
        </w:rPr>
        <w:t xml:space="preserve"> (formerly ‘level 13’),</w:t>
      </w:r>
      <w:r w:rsidRPr="006C6879">
        <w:rPr>
          <w:rStyle w:val="FootnoteReference"/>
          <w:rFonts w:ascii="Century Schoolbook" w:hAnsi="Century Schoolbook" w:cs="Times New Roman"/>
          <w:sz w:val="24"/>
          <w:szCs w:val="24"/>
        </w:rPr>
        <w:footnoteReference w:id="32"/>
      </w:r>
      <w:r w:rsidRPr="006C6879">
        <w:rPr>
          <w:rFonts w:ascii="Century Schoolbook" w:hAnsi="Century Schoolbook" w:cs="Times New Roman"/>
          <w:sz w:val="24"/>
          <w:szCs w:val="24"/>
        </w:rPr>
        <w:t xml:space="preserve"> Senior Litigators are</w:t>
      </w:r>
      <w:r w:rsidR="000D4696">
        <w:rPr>
          <w:rFonts w:ascii="Century Schoolbook" w:hAnsi="Century Schoolbook" w:cs="Times New Roman"/>
          <w:sz w:val="24"/>
          <w:szCs w:val="24"/>
        </w:rPr>
        <w:t xml:space="preserve"> the</w:t>
      </w:r>
      <w:r w:rsidR="00FE2373">
        <w:rPr>
          <w:rFonts w:ascii="Century Schoolbook" w:hAnsi="Century Schoolbook" w:cs="Times New Roman"/>
          <w:sz w:val="24"/>
          <w:szCs w:val="24"/>
        </w:rPr>
        <w:t xml:space="preserve"> </w:t>
      </w:r>
      <w:r w:rsidRPr="006C6879">
        <w:rPr>
          <w:rFonts w:ascii="Century Schoolbook" w:hAnsi="Century Schoolbook" w:cs="Times New Roman"/>
          <w:sz w:val="24"/>
          <w:szCs w:val="24"/>
        </w:rPr>
        <w:t>most ‘Senior Professional staff’</w:t>
      </w:r>
      <w:r w:rsidRPr="006C6879">
        <w:rPr>
          <w:rStyle w:val="FootnoteReference"/>
          <w:rFonts w:ascii="Century Schoolbook" w:hAnsi="Century Schoolbook" w:cs="Times New Roman"/>
          <w:sz w:val="24"/>
          <w:szCs w:val="24"/>
        </w:rPr>
        <w:footnoteReference w:id="33"/>
      </w:r>
      <w:r w:rsidRPr="006C6879">
        <w:rPr>
          <w:rFonts w:ascii="Century Schoolbook" w:hAnsi="Century Schoolbook" w:cs="Times New Roman"/>
          <w:sz w:val="24"/>
          <w:szCs w:val="24"/>
        </w:rPr>
        <w:t xml:space="preserve"> in </w:t>
      </w:r>
      <w:r w:rsidR="000D4696" w:rsidRPr="006C6879">
        <w:rPr>
          <w:rFonts w:ascii="Century Schoolbook" w:hAnsi="Century Schoolbook" w:cs="Times New Roman"/>
          <w:sz w:val="24"/>
          <w:szCs w:val="24"/>
        </w:rPr>
        <w:t>LASA’s</w:t>
      </w:r>
      <w:r w:rsidRPr="006C6879">
        <w:rPr>
          <w:rFonts w:ascii="Century Schoolbook" w:hAnsi="Century Schoolbook" w:cs="Times New Roman"/>
          <w:sz w:val="24"/>
          <w:szCs w:val="24"/>
        </w:rPr>
        <w:t xml:space="preserve"> </w:t>
      </w:r>
      <w:r w:rsidR="00336A52">
        <w:rPr>
          <w:rFonts w:ascii="Century Schoolbook" w:hAnsi="Century Schoolbook" w:cs="Times New Roman"/>
          <w:sz w:val="24"/>
          <w:szCs w:val="24"/>
        </w:rPr>
        <w:t xml:space="preserve">legal </w:t>
      </w:r>
      <w:r w:rsidRPr="006C6879">
        <w:rPr>
          <w:rFonts w:ascii="Century Schoolbook" w:hAnsi="Century Schoolbook" w:cs="Times New Roman"/>
          <w:sz w:val="24"/>
          <w:szCs w:val="24"/>
        </w:rPr>
        <w:t>professional staff establishment;</w:t>
      </w:r>
      <w:r w:rsidRPr="006C6879">
        <w:rPr>
          <w:rStyle w:val="FootnoteReference"/>
          <w:rFonts w:ascii="Century Schoolbook" w:hAnsi="Century Schoolbook" w:cs="Times New Roman"/>
          <w:sz w:val="24"/>
          <w:szCs w:val="24"/>
        </w:rPr>
        <w:footnoteReference w:id="34"/>
      </w:r>
      <w:r w:rsidRPr="006C6879">
        <w:rPr>
          <w:rFonts w:ascii="Century Schoolbook" w:hAnsi="Century Schoolbook" w:cs="Times New Roman"/>
          <w:sz w:val="24"/>
          <w:szCs w:val="24"/>
        </w:rPr>
        <w:t xml:space="preserve"> and </w:t>
      </w:r>
      <w:r w:rsidR="000D4696">
        <w:rPr>
          <w:rFonts w:ascii="Century Schoolbook" w:hAnsi="Century Schoolbook" w:cs="Times New Roman"/>
          <w:sz w:val="24"/>
          <w:szCs w:val="24"/>
        </w:rPr>
        <w:t>LASA classifies a</w:t>
      </w:r>
      <w:r w:rsidR="00490499">
        <w:rPr>
          <w:rFonts w:ascii="Century Schoolbook" w:hAnsi="Century Schoolbook" w:cs="Times New Roman"/>
          <w:sz w:val="24"/>
          <w:szCs w:val="24"/>
        </w:rPr>
        <w:t xml:space="preserve"> </w:t>
      </w:r>
      <w:r w:rsidRPr="006C6879">
        <w:rPr>
          <w:rFonts w:ascii="Century Schoolbook" w:hAnsi="Century Schoolbook" w:cs="Times New Roman"/>
          <w:sz w:val="24"/>
          <w:szCs w:val="24"/>
        </w:rPr>
        <w:t>Senior Litigator post</w:t>
      </w:r>
      <w:r w:rsidR="00FE2373">
        <w:rPr>
          <w:rFonts w:ascii="Century Schoolbook" w:hAnsi="Century Schoolbook" w:cs="Times New Roman"/>
          <w:sz w:val="24"/>
          <w:szCs w:val="24"/>
        </w:rPr>
        <w:t xml:space="preserve"> </w:t>
      </w:r>
      <w:r w:rsidR="00EC5A62">
        <w:rPr>
          <w:rFonts w:ascii="Century Schoolbook" w:hAnsi="Century Schoolbook" w:cs="Times New Roman"/>
          <w:sz w:val="24"/>
          <w:szCs w:val="24"/>
        </w:rPr>
        <w:t xml:space="preserve">as </w:t>
      </w:r>
      <w:r w:rsidRPr="006C6879">
        <w:rPr>
          <w:rFonts w:ascii="Century Schoolbook" w:hAnsi="Century Schoolbook" w:cs="Times New Roman"/>
          <w:sz w:val="24"/>
          <w:szCs w:val="24"/>
        </w:rPr>
        <w:t>a ‘critical position’</w:t>
      </w:r>
      <w:r w:rsidRPr="006C6879">
        <w:rPr>
          <w:rStyle w:val="FootnoteReference"/>
          <w:rFonts w:ascii="Century Schoolbook" w:hAnsi="Century Schoolbook" w:cs="Times New Roman"/>
          <w:sz w:val="24"/>
          <w:szCs w:val="24"/>
        </w:rPr>
        <w:footnoteReference w:id="35"/>
      </w:r>
      <w:r w:rsidR="00F77C95" w:rsidRPr="00F77C95">
        <w:rPr>
          <w:rFonts w:ascii="Century Schoolbook" w:hAnsi="Century Schoolbook" w:cs="Times New Roman"/>
          <w:sz w:val="24"/>
          <w:szCs w:val="24"/>
        </w:rPr>
        <w:t xml:space="preserve"> </w:t>
      </w:r>
      <w:r w:rsidR="00F77C95" w:rsidRPr="006C6879">
        <w:rPr>
          <w:rFonts w:ascii="Century Schoolbook" w:hAnsi="Century Schoolbook" w:cs="Times New Roman"/>
          <w:sz w:val="24"/>
          <w:szCs w:val="24"/>
        </w:rPr>
        <w:t>accordingly</w:t>
      </w:r>
      <w:r w:rsidR="00F77C95">
        <w:rPr>
          <w:rFonts w:ascii="Century Schoolbook" w:hAnsi="Century Schoolbook" w:cs="Times New Roman"/>
          <w:sz w:val="24"/>
          <w:szCs w:val="24"/>
        </w:rPr>
        <w:t>.</w:t>
      </w:r>
    </w:p>
    <w:p w:rsidR="009510E4" w:rsidRDefault="009510E4" w:rsidP="009510E4">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color w:val="222222"/>
          <w:sz w:val="24"/>
          <w:szCs w:val="24"/>
          <w:shd w:val="clear" w:color="auto" w:fill="FFFFFF"/>
        </w:rPr>
        <w:t>S</w:t>
      </w:r>
      <w:r w:rsidRPr="006C6879">
        <w:rPr>
          <w:rFonts w:ascii="Century Schoolbook" w:hAnsi="Century Schoolbook" w:cs="Times New Roman"/>
          <w:color w:val="222222"/>
          <w:sz w:val="24"/>
          <w:szCs w:val="24"/>
          <w:shd w:val="clear" w:color="auto" w:fill="FFFFFF"/>
        </w:rPr>
        <w:t>ection 53 of the PFMA</w:t>
      </w:r>
      <w:r>
        <w:rPr>
          <w:rFonts w:ascii="Century Schoolbook" w:hAnsi="Century Schoolbook" w:cs="Times New Roman"/>
          <w:color w:val="222222"/>
          <w:sz w:val="24"/>
          <w:szCs w:val="24"/>
          <w:shd w:val="clear" w:color="auto" w:fill="FFFFFF"/>
        </w:rPr>
        <w:t xml:space="preserve"> provides:</w:t>
      </w:r>
    </w:p>
    <w:p w:rsidR="009510E4" w:rsidRPr="006C6879" w:rsidRDefault="009510E4" w:rsidP="009510E4">
      <w:pPr>
        <w:pStyle w:val="ListParagraph"/>
        <w:numPr>
          <w:ilvl w:val="0"/>
          <w:numId w:val="12"/>
        </w:numPr>
        <w:tabs>
          <w:tab w:val="left" w:pos="284"/>
          <w:tab w:val="left" w:pos="426"/>
        </w:tabs>
        <w:spacing w:line="360" w:lineRule="auto"/>
        <w:ind w:left="1134" w:hanging="425"/>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accounting authority for a public entity listed in Schedule 3 which is not a government business enterprise must submit to the executive authority responsible for that public entity, at least six months before the start of the financial year of the department designated in terms of subsection (2) </w:t>
      </w:r>
      <w:r w:rsidR="00394E06">
        <w:rPr>
          <w:rFonts w:ascii="Century Schoolbook" w:hAnsi="Century Schoolbook" w:cs="Times New Roman"/>
          <w:sz w:val="24"/>
          <w:szCs w:val="24"/>
        </w:rPr>
        <w:t>...</w:t>
      </w:r>
      <w:r w:rsidRPr="006C6879">
        <w:rPr>
          <w:rFonts w:ascii="Century Schoolbook" w:hAnsi="Century Schoolbook" w:cs="Times New Roman"/>
          <w:sz w:val="24"/>
          <w:szCs w:val="24"/>
        </w:rPr>
        <w:t xml:space="preserve">, a budget of estimated revenue and expenditure for that financial year, for approval by the executive authority. </w:t>
      </w:r>
    </w:p>
    <w:p w:rsidR="009510E4" w:rsidRPr="006C6879" w:rsidRDefault="009510E4" w:rsidP="009510E4">
      <w:pPr>
        <w:pStyle w:val="ListParagraph"/>
        <w:numPr>
          <w:ilvl w:val="0"/>
          <w:numId w:val="12"/>
        </w:numPr>
        <w:tabs>
          <w:tab w:val="left" w:pos="284"/>
          <w:tab w:val="left" w:pos="426"/>
        </w:tabs>
        <w:spacing w:line="360" w:lineRule="auto"/>
        <w:ind w:left="1134" w:hanging="425"/>
        <w:contextualSpacing w:val="0"/>
        <w:rPr>
          <w:rFonts w:ascii="Century Schoolbook" w:hAnsi="Century Schoolbook" w:cs="Times New Roman"/>
          <w:sz w:val="24"/>
          <w:szCs w:val="24"/>
        </w:rPr>
      </w:pPr>
      <w:r w:rsidRPr="006C6879">
        <w:rPr>
          <w:rFonts w:ascii="Century Schoolbook" w:hAnsi="Century Schoolbook" w:cs="Times New Roman"/>
          <w:sz w:val="24"/>
          <w:szCs w:val="24"/>
        </w:rPr>
        <w:lastRenderedPageBreak/>
        <w:t>The budget must be submitted to the executive authority through the accounting officer for a department designated by the executive authority, who may make recommendations to the executive authority with regard to the approval or amendment of the budget.</w:t>
      </w:r>
    </w:p>
    <w:p w:rsidR="001573B6" w:rsidRPr="006C6879" w:rsidRDefault="00BB05AD" w:rsidP="009F643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In</w:t>
      </w:r>
      <w:r w:rsidR="00336A52">
        <w:rPr>
          <w:rFonts w:ascii="Century Schoolbook" w:hAnsi="Century Schoolbook" w:cs="Times New Roman"/>
          <w:sz w:val="24"/>
          <w:szCs w:val="24"/>
        </w:rPr>
        <w:t xml:space="preserve"> </w:t>
      </w:r>
      <w:r w:rsidR="009510E4">
        <w:rPr>
          <w:rFonts w:ascii="Century Schoolbook" w:hAnsi="Century Schoolbook" w:cs="Times New Roman"/>
          <w:sz w:val="24"/>
          <w:szCs w:val="24"/>
        </w:rPr>
        <w:t xml:space="preserve">due </w:t>
      </w:r>
      <w:r w:rsidRPr="006C6879">
        <w:rPr>
          <w:rFonts w:ascii="Century Schoolbook" w:hAnsi="Century Schoolbook" w:cs="Times New Roman"/>
          <w:sz w:val="24"/>
          <w:szCs w:val="24"/>
        </w:rPr>
        <w:t>compliance</w:t>
      </w:r>
      <w:r w:rsidR="00861BF7"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with </w:t>
      </w:r>
      <w:r w:rsidR="00153426">
        <w:rPr>
          <w:rFonts w:ascii="Century Schoolbook" w:hAnsi="Century Schoolbook" w:cs="Times New Roman"/>
          <w:sz w:val="24"/>
          <w:szCs w:val="24"/>
        </w:rPr>
        <w:t>section 53</w:t>
      </w:r>
      <w:r w:rsidR="00EE7645">
        <w:rPr>
          <w:rFonts w:ascii="Century Schoolbook" w:hAnsi="Century Schoolbook" w:cs="Times New Roman"/>
          <w:sz w:val="24"/>
          <w:szCs w:val="24"/>
        </w:rPr>
        <w:t>(1)</w:t>
      </w:r>
      <w:r w:rsidR="00871A7A" w:rsidRPr="006C6879">
        <w:rPr>
          <w:rFonts w:ascii="Century Schoolbook" w:hAnsi="Century Schoolbook" w:cs="Times New Roman"/>
          <w:sz w:val="24"/>
          <w:szCs w:val="24"/>
        </w:rPr>
        <w:t xml:space="preserve"> of the </w:t>
      </w:r>
      <w:r w:rsidR="00212D88" w:rsidRPr="006C6879">
        <w:rPr>
          <w:rFonts w:ascii="Century Schoolbook" w:hAnsi="Century Schoolbook" w:cs="Times New Roman"/>
          <w:sz w:val="24"/>
          <w:szCs w:val="24"/>
        </w:rPr>
        <w:t>PFMA</w:t>
      </w:r>
      <w:r w:rsidR="00861BF7" w:rsidRPr="006C6879">
        <w:rPr>
          <w:rFonts w:ascii="Century Schoolbook" w:hAnsi="Century Schoolbook" w:cs="Times New Roman"/>
          <w:sz w:val="24"/>
          <w:szCs w:val="24"/>
        </w:rPr>
        <w:t xml:space="preserve">, LASA </w:t>
      </w:r>
      <w:r w:rsidR="00336A52" w:rsidRPr="006C6879">
        <w:rPr>
          <w:rFonts w:ascii="Century Schoolbook" w:hAnsi="Century Schoolbook" w:cs="Times New Roman"/>
          <w:sz w:val="24"/>
          <w:szCs w:val="24"/>
        </w:rPr>
        <w:t xml:space="preserve">specifically </w:t>
      </w:r>
      <w:r w:rsidR="00861BF7" w:rsidRPr="006C6879">
        <w:rPr>
          <w:rFonts w:ascii="Century Schoolbook" w:hAnsi="Century Schoolbook" w:cs="Times New Roman"/>
          <w:sz w:val="24"/>
          <w:szCs w:val="24"/>
        </w:rPr>
        <w:t>budget</w:t>
      </w:r>
      <w:r w:rsidR="00790342" w:rsidRPr="006C6879">
        <w:rPr>
          <w:rFonts w:ascii="Century Schoolbook" w:hAnsi="Century Schoolbook" w:cs="Times New Roman"/>
          <w:sz w:val="24"/>
          <w:szCs w:val="24"/>
        </w:rPr>
        <w:t>s</w:t>
      </w:r>
      <w:r w:rsidR="001573B6" w:rsidRPr="006C6879">
        <w:rPr>
          <w:rFonts w:ascii="Century Schoolbook" w:hAnsi="Century Schoolbook" w:cs="Times New Roman"/>
          <w:sz w:val="24"/>
          <w:szCs w:val="24"/>
        </w:rPr>
        <w:t xml:space="preserve"> </w:t>
      </w:r>
      <w:r w:rsidR="00861BF7" w:rsidRPr="006C6879">
        <w:rPr>
          <w:rFonts w:ascii="Century Schoolbook" w:hAnsi="Century Schoolbook" w:cs="Times New Roman"/>
          <w:sz w:val="24"/>
          <w:szCs w:val="24"/>
        </w:rPr>
        <w:t>for salar</w:t>
      </w:r>
      <w:r w:rsidR="0029180C">
        <w:rPr>
          <w:rFonts w:ascii="Century Schoolbook" w:hAnsi="Century Schoolbook" w:cs="Times New Roman"/>
          <w:sz w:val="24"/>
          <w:szCs w:val="24"/>
        </w:rPr>
        <w:t>ies</w:t>
      </w:r>
      <w:r w:rsidR="00212D88" w:rsidRPr="006C6879">
        <w:rPr>
          <w:rFonts w:ascii="Century Schoolbook" w:hAnsi="Century Schoolbook" w:cs="Times New Roman"/>
          <w:sz w:val="24"/>
          <w:szCs w:val="24"/>
        </w:rPr>
        <w:t xml:space="preserve"> </w:t>
      </w:r>
      <w:r w:rsidR="00861BF7" w:rsidRPr="006C6879">
        <w:rPr>
          <w:rFonts w:ascii="Century Schoolbook" w:hAnsi="Century Schoolbook" w:cs="Times New Roman"/>
          <w:sz w:val="24"/>
          <w:szCs w:val="24"/>
        </w:rPr>
        <w:t xml:space="preserve">for </w:t>
      </w:r>
      <w:r w:rsidR="00370A75" w:rsidRPr="006C6879">
        <w:rPr>
          <w:rFonts w:ascii="Century Schoolbook" w:hAnsi="Century Schoolbook" w:cs="Times New Roman"/>
          <w:sz w:val="24"/>
          <w:szCs w:val="24"/>
        </w:rPr>
        <w:t xml:space="preserve">all </w:t>
      </w:r>
      <w:r w:rsidR="00861BF7" w:rsidRPr="006C6879">
        <w:rPr>
          <w:rFonts w:ascii="Century Schoolbook" w:hAnsi="Century Schoolbook" w:cs="Times New Roman"/>
          <w:sz w:val="24"/>
          <w:szCs w:val="24"/>
        </w:rPr>
        <w:t xml:space="preserve">nine </w:t>
      </w:r>
      <w:r w:rsidR="00370A75" w:rsidRPr="006C6879">
        <w:rPr>
          <w:rFonts w:ascii="Century Schoolbook" w:hAnsi="Century Schoolbook" w:cs="Times New Roman"/>
          <w:sz w:val="24"/>
          <w:szCs w:val="24"/>
        </w:rPr>
        <w:t xml:space="preserve">of its </w:t>
      </w:r>
      <w:r w:rsidR="00861BF7" w:rsidRPr="006C6879">
        <w:rPr>
          <w:rFonts w:ascii="Century Schoolbook" w:hAnsi="Century Schoolbook" w:cs="Times New Roman"/>
          <w:sz w:val="24"/>
          <w:szCs w:val="24"/>
        </w:rPr>
        <w:t>Senior Litigator posts</w:t>
      </w:r>
      <w:r w:rsidR="000009FC">
        <w:rPr>
          <w:rFonts w:ascii="Century Schoolbook" w:hAnsi="Century Schoolbook" w:cs="Times New Roman"/>
          <w:sz w:val="24"/>
          <w:szCs w:val="24"/>
        </w:rPr>
        <w:t>,</w:t>
      </w:r>
      <w:r w:rsidR="00F77C95" w:rsidRPr="000B7605">
        <w:rPr>
          <w:rStyle w:val="FootnoteReference"/>
          <w:rFonts w:ascii="Century Schoolbook" w:hAnsi="Century Schoolbook" w:cs="Times New Roman"/>
          <w:sz w:val="24"/>
          <w:szCs w:val="24"/>
        </w:rPr>
        <w:footnoteReference w:id="36"/>
      </w:r>
      <w:r w:rsidR="00861BF7" w:rsidRPr="000B7605">
        <w:rPr>
          <w:rFonts w:ascii="Century Schoolbook" w:hAnsi="Century Schoolbook" w:cs="Times New Roman"/>
          <w:sz w:val="24"/>
          <w:szCs w:val="24"/>
        </w:rPr>
        <w:t xml:space="preserve"> and </w:t>
      </w:r>
      <w:r w:rsidR="00861BF7" w:rsidRPr="006C6879">
        <w:rPr>
          <w:rFonts w:ascii="Century Schoolbook" w:hAnsi="Century Schoolbook" w:cs="Times New Roman"/>
          <w:sz w:val="24"/>
          <w:szCs w:val="24"/>
        </w:rPr>
        <w:t xml:space="preserve">provision in LASA’s budgets for the employment of nine Senior Litigators has </w:t>
      </w:r>
      <w:r w:rsidR="00153426">
        <w:rPr>
          <w:rFonts w:ascii="Century Schoolbook" w:hAnsi="Century Schoolbook" w:cs="Times New Roman"/>
          <w:sz w:val="24"/>
          <w:szCs w:val="24"/>
        </w:rPr>
        <w:t xml:space="preserve">from inception to date </w:t>
      </w:r>
      <w:r w:rsidR="00861BF7" w:rsidRPr="006C6879">
        <w:rPr>
          <w:rFonts w:ascii="Century Schoolbook" w:hAnsi="Century Schoolbook" w:cs="Times New Roman"/>
          <w:sz w:val="24"/>
          <w:szCs w:val="24"/>
        </w:rPr>
        <w:t xml:space="preserve">been </w:t>
      </w:r>
      <w:r w:rsidR="001573B6" w:rsidRPr="006C6879">
        <w:rPr>
          <w:rFonts w:ascii="Century Schoolbook" w:hAnsi="Century Schoolbook" w:cs="Times New Roman"/>
          <w:sz w:val="24"/>
          <w:szCs w:val="24"/>
        </w:rPr>
        <w:t xml:space="preserve">(i) </w:t>
      </w:r>
      <w:r w:rsidR="00861BF7" w:rsidRPr="006C6879">
        <w:rPr>
          <w:rFonts w:ascii="Century Schoolbook" w:hAnsi="Century Schoolbook" w:cs="Times New Roman"/>
          <w:sz w:val="24"/>
          <w:szCs w:val="24"/>
        </w:rPr>
        <w:t>annually approved</w:t>
      </w:r>
      <w:r w:rsidR="00212D88" w:rsidRPr="006C6879">
        <w:rPr>
          <w:rFonts w:ascii="Century Schoolbook" w:hAnsi="Century Schoolbook" w:cs="Times New Roman"/>
          <w:sz w:val="24"/>
          <w:szCs w:val="24"/>
        </w:rPr>
        <w:t xml:space="preserve"> by the </w:t>
      </w:r>
      <w:r w:rsidR="001573B6" w:rsidRPr="006C6879">
        <w:rPr>
          <w:rFonts w:ascii="Century Schoolbook" w:hAnsi="Century Schoolbook" w:cs="Times New Roman"/>
          <w:sz w:val="24"/>
          <w:szCs w:val="24"/>
        </w:rPr>
        <w:t xml:space="preserve">Minister on the advice of the </w:t>
      </w:r>
      <w:r w:rsidR="00212D88" w:rsidRPr="006C6879">
        <w:rPr>
          <w:rFonts w:ascii="Century Schoolbook" w:hAnsi="Century Schoolbook" w:cs="Times New Roman"/>
          <w:sz w:val="24"/>
          <w:szCs w:val="24"/>
        </w:rPr>
        <w:t>Department</w:t>
      </w:r>
      <w:r w:rsidR="001573B6" w:rsidRPr="006C6879">
        <w:rPr>
          <w:rFonts w:ascii="Century Schoolbook" w:hAnsi="Century Schoolbook" w:cs="Times New Roman"/>
          <w:sz w:val="24"/>
          <w:szCs w:val="24"/>
        </w:rPr>
        <w:t>’s accounting officer</w:t>
      </w:r>
      <w:r w:rsidR="00861BF7" w:rsidRPr="006C6879">
        <w:rPr>
          <w:rFonts w:ascii="Century Schoolbook" w:hAnsi="Century Schoolbook" w:cs="Times New Roman"/>
          <w:sz w:val="24"/>
          <w:szCs w:val="24"/>
        </w:rPr>
        <w:t xml:space="preserve">, </w:t>
      </w:r>
      <w:r w:rsidR="001573B6" w:rsidRPr="006C6879">
        <w:rPr>
          <w:rFonts w:ascii="Century Schoolbook" w:hAnsi="Century Schoolbook" w:cs="Times New Roman"/>
          <w:sz w:val="24"/>
          <w:szCs w:val="24"/>
        </w:rPr>
        <w:t xml:space="preserve">(ii) </w:t>
      </w:r>
      <w:r w:rsidR="00861BF7" w:rsidRPr="006C6879">
        <w:rPr>
          <w:rFonts w:ascii="Century Schoolbook" w:hAnsi="Century Schoolbook" w:cs="Times New Roman"/>
          <w:sz w:val="24"/>
          <w:szCs w:val="24"/>
        </w:rPr>
        <w:t xml:space="preserve">voted by the National Assembly, and </w:t>
      </w:r>
      <w:r w:rsidR="001573B6" w:rsidRPr="006C6879">
        <w:rPr>
          <w:rFonts w:ascii="Century Schoolbook" w:hAnsi="Century Schoolbook" w:cs="Times New Roman"/>
          <w:sz w:val="24"/>
          <w:szCs w:val="24"/>
        </w:rPr>
        <w:t>(iii)</w:t>
      </w:r>
      <w:r w:rsidR="00E93CF4">
        <w:rPr>
          <w:rFonts w:ascii="Century Schoolbook" w:hAnsi="Century Schoolbook" w:cs="Times New Roman"/>
          <w:sz w:val="24"/>
          <w:szCs w:val="24"/>
        </w:rPr>
        <w:t xml:space="preserve"> </w:t>
      </w:r>
      <w:r w:rsidR="0029180C">
        <w:rPr>
          <w:rFonts w:ascii="Century Schoolbook" w:hAnsi="Century Schoolbook" w:cs="Times New Roman"/>
          <w:sz w:val="24"/>
          <w:szCs w:val="24"/>
        </w:rPr>
        <w:t>received by</w:t>
      </w:r>
      <w:r w:rsidR="00F77C95" w:rsidRPr="006C6879">
        <w:rPr>
          <w:rFonts w:ascii="Century Schoolbook" w:hAnsi="Century Schoolbook" w:cs="Times New Roman"/>
          <w:sz w:val="24"/>
          <w:szCs w:val="24"/>
        </w:rPr>
        <w:t xml:space="preserve"> LASA </w:t>
      </w:r>
      <w:r w:rsidR="0029180C">
        <w:rPr>
          <w:rFonts w:ascii="Century Schoolbook" w:hAnsi="Century Schoolbook" w:cs="Times New Roman"/>
          <w:sz w:val="24"/>
          <w:szCs w:val="24"/>
        </w:rPr>
        <w:t xml:space="preserve">from </w:t>
      </w:r>
      <w:r w:rsidR="001573B6" w:rsidRPr="006C6879">
        <w:rPr>
          <w:rFonts w:ascii="Century Schoolbook" w:hAnsi="Century Schoolbook" w:cs="Times New Roman"/>
          <w:sz w:val="24"/>
          <w:szCs w:val="24"/>
        </w:rPr>
        <w:t xml:space="preserve">the Treasury </w:t>
      </w:r>
      <w:r w:rsidR="00212D88" w:rsidRPr="006C6879">
        <w:rPr>
          <w:rFonts w:ascii="Century Schoolbook" w:hAnsi="Century Schoolbook" w:cs="Times New Roman"/>
          <w:sz w:val="24"/>
          <w:szCs w:val="24"/>
        </w:rPr>
        <w:t xml:space="preserve">via the </w:t>
      </w:r>
      <w:r w:rsidR="00861BF7" w:rsidRPr="006C6879">
        <w:rPr>
          <w:rFonts w:ascii="Century Schoolbook" w:hAnsi="Century Schoolbook" w:cs="Times New Roman"/>
          <w:sz w:val="24"/>
          <w:szCs w:val="24"/>
        </w:rPr>
        <w:t>Department’s Third Party Funds Directorate.</w:t>
      </w:r>
      <w:r w:rsidR="00861BF7" w:rsidRPr="006C6879">
        <w:rPr>
          <w:rStyle w:val="FootnoteReference"/>
          <w:rFonts w:ascii="Century Schoolbook" w:hAnsi="Century Schoolbook" w:cs="Times New Roman"/>
          <w:sz w:val="24"/>
          <w:szCs w:val="24"/>
        </w:rPr>
        <w:footnoteReference w:id="37"/>
      </w:r>
      <w:r w:rsidR="00861BF7" w:rsidRPr="006C6879">
        <w:rPr>
          <w:rFonts w:ascii="Century Schoolbook" w:hAnsi="Century Schoolbook" w:cs="Times New Roman"/>
          <w:sz w:val="24"/>
          <w:szCs w:val="24"/>
        </w:rPr>
        <w:t xml:space="preserve"> </w:t>
      </w:r>
    </w:p>
    <w:p w:rsidR="00861BF7" w:rsidRPr="006C6879" w:rsidRDefault="00861BF7" w:rsidP="009F643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In short, LASA’s nine Senior Litigator posts have always been and remain funded</w:t>
      </w:r>
      <w:r w:rsidR="007764C7">
        <w:rPr>
          <w:rFonts w:ascii="Century Schoolbook" w:hAnsi="Century Schoolbook" w:cs="Times New Roman"/>
          <w:sz w:val="24"/>
          <w:szCs w:val="24"/>
        </w:rPr>
        <w:t>; which is to say</w:t>
      </w:r>
      <w:r w:rsidR="00753C22">
        <w:rPr>
          <w:rFonts w:ascii="Century Schoolbook" w:hAnsi="Century Schoolbook" w:cs="Times New Roman"/>
          <w:sz w:val="24"/>
          <w:szCs w:val="24"/>
        </w:rPr>
        <w:t xml:space="preserve"> </w:t>
      </w:r>
      <w:r w:rsidR="000009FC">
        <w:rPr>
          <w:rFonts w:ascii="Century Schoolbook" w:hAnsi="Century Schoolbook" w:cs="Times New Roman"/>
          <w:sz w:val="24"/>
          <w:szCs w:val="24"/>
        </w:rPr>
        <w:t xml:space="preserve">in plain terms that </w:t>
      </w:r>
      <w:r w:rsidR="00370A75" w:rsidRPr="006C6879">
        <w:rPr>
          <w:rFonts w:ascii="Century Schoolbook" w:hAnsi="Century Schoolbook" w:cs="Times New Roman"/>
          <w:sz w:val="24"/>
          <w:szCs w:val="24"/>
        </w:rPr>
        <w:t xml:space="preserve">LASA has always had </w:t>
      </w:r>
      <w:r w:rsidR="003311E2" w:rsidRPr="006C6879">
        <w:rPr>
          <w:rFonts w:ascii="Century Schoolbook" w:hAnsi="Century Schoolbook" w:cs="Times New Roman"/>
          <w:sz w:val="24"/>
          <w:szCs w:val="24"/>
        </w:rPr>
        <w:t xml:space="preserve">and still has </w:t>
      </w:r>
      <w:r w:rsidR="00370A75" w:rsidRPr="006C6879">
        <w:rPr>
          <w:rFonts w:ascii="Century Schoolbook" w:hAnsi="Century Schoolbook" w:cs="Times New Roman"/>
          <w:sz w:val="24"/>
          <w:szCs w:val="24"/>
        </w:rPr>
        <w:t xml:space="preserve">the </w:t>
      </w:r>
      <w:r w:rsidR="00A77F60">
        <w:rPr>
          <w:rFonts w:ascii="Century Schoolbook" w:hAnsi="Century Schoolbook" w:cs="Times New Roman"/>
          <w:sz w:val="24"/>
          <w:szCs w:val="24"/>
        </w:rPr>
        <w:t>money</w:t>
      </w:r>
      <w:r w:rsidR="00370A75" w:rsidRPr="006C6879">
        <w:rPr>
          <w:rFonts w:ascii="Century Schoolbook" w:hAnsi="Century Schoolbook" w:cs="Times New Roman"/>
          <w:sz w:val="24"/>
          <w:szCs w:val="24"/>
        </w:rPr>
        <w:t xml:space="preserve"> to employ nine Senior Litigators</w:t>
      </w:r>
      <w:r w:rsidR="002C629B">
        <w:rPr>
          <w:rFonts w:ascii="Century Schoolbook" w:hAnsi="Century Schoolbook" w:cs="Times New Roman"/>
          <w:sz w:val="24"/>
          <w:szCs w:val="24"/>
        </w:rPr>
        <w:t xml:space="preserve"> at seats of the High Court around the country</w:t>
      </w:r>
      <w:r w:rsidRPr="006C6879">
        <w:rPr>
          <w:rFonts w:ascii="Century Schoolbook" w:hAnsi="Century Schoolbook" w:cs="Times New Roman"/>
          <w:sz w:val="24"/>
          <w:szCs w:val="24"/>
        </w:rPr>
        <w:t>.</w:t>
      </w:r>
    </w:p>
    <w:p w:rsidR="00CC33D7" w:rsidRPr="00CC33D7" w:rsidRDefault="00CC33D7" w:rsidP="00CC33D7">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CC33D7">
        <w:rPr>
          <w:rFonts w:ascii="Century Schoolbook" w:hAnsi="Century Schoolbook" w:cs="Times New Roman"/>
          <w:b/>
          <w:sz w:val="24"/>
          <w:szCs w:val="24"/>
        </w:rPr>
        <w:t>THE JUSTICE PORTFOLIO COMMITTEE’S REPEATEDLY EXPRESSED CONCERN ABOUT INADEQUATE LEGAL EXPERTISE AVAILABLE TO THE PUBLIC AT LASA; LASA’S REPEATED CONCESSION OF THE PROBLEM; AND THE JUSTICE PORTFOLIO’S SPECIFIC CONCERN THAT LASA EMPLOY SENIOR LITIGATORS TO REMEDY IT</w:t>
      </w:r>
    </w:p>
    <w:p w:rsidR="00E77B92" w:rsidRPr="006C6879" w:rsidRDefault="00E77B92" w:rsidP="00CC33D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Six months after the Board resolved to create </w:t>
      </w:r>
      <w:r w:rsidR="00DC1C8C">
        <w:rPr>
          <w:rFonts w:ascii="Century Schoolbook" w:hAnsi="Century Schoolbook" w:cs="Times New Roman"/>
          <w:sz w:val="24"/>
          <w:szCs w:val="24"/>
        </w:rPr>
        <w:t xml:space="preserve">its </w:t>
      </w:r>
      <w:r w:rsidRPr="006C6879">
        <w:rPr>
          <w:rFonts w:ascii="Century Schoolbook" w:hAnsi="Century Schoolbook" w:cs="Times New Roman"/>
          <w:sz w:val="24"/>
          <w:szCs w:val="24"/>
        </w:rPr>
        <w:t xml:space="preserve">new Senior Litigator posts, but before they were advertised, </w:t>
      </w:r>
      <w:r w:rsidR="00EE058D" w:rsidRPr="00EE058D">
        <w:rPr>
          <w:rFonts w:ascii="Century Schoolbook" w:hAnsi="Century Schoolbook" w:cs="Times New Roman"/>
          <w:sz w:val="24"/>
          <w:szCs w:val="24"/>
        </w:rPr>
        <w:t>LASA’s parliamentary oversight authority</w:t>
      </w:r>
      <w:r w:rsidR="00EE058D" w:rsidRPr="006C6879">
        <w:rPr>
          <w:rFonts w:ascii="Century Schoolbook" w:hAnsi="Century Schoolbook" w:cs="Times New Roman"/>
          <w:sz w:val="24"/>
          <w:szCs w:val="24"/>
        </w:rPr>
        <w:t xml:space="preserve"> </w:t>
      </w:r>
      <w:r w:rsidR="000D4696">
        <w:rPr>
          <w:rFonts w:ascii="Century Schoolbook" w:hAnsi="Century Schoolbook" w:cs="Times New Roman"/>
          <w:sz w:val="24"/>
          <w:szCs w:val="24"/>
        </w:rPr>
        <w:t xml:space="preserve">at </w:t>
      </w:r>
      <w:r w:rsidR="000D4696">
        <w:rPr>
          <w:rFonts w:ascii="Century Schoolbook" w:hAnsi="Century Schoolbook" w:cs="Times New Roman"/>
          <w:sz w:val="24"/>
          <w:szCs w:val="24"/>
        </w:rPr>
        <w:lastRenderedPageBreak/>
        <w:t xml:space="preserve">the time, </w:t>
      </w:r>
      <w:r w:rsidR="00DC1C8C" w:rsidRPr="006C6879">
        <w:rPr>
          <w:rFonts w:ascii="Century Schoolbook" w:hAnsi="Century Schoolbook" w:cs="Times New Roman"/>
          <w:sz w:val="24"/>
          <w:szCs w:val="24"/>
        </w:rPr>
        <w:t>the National Assembly</w:t>
      </w:r>
      <w:r w:rsidR="00DC1C8C">
        <w:rPr>
          <w:rFonts w:ascii="Century Schoolbook" w:hAnsi="Century Schoolbook" w:cs="Times New Roman"/>
          <w:sz w:val="24"/>
          <w:szCs w:val="24"/>
        </w:rPr>
        <w:t>’s</w:t>
      </w:r>
      <w:r w:rsidRPr="006C6879">
        <w:rPr>
          <w:rFonts w:ascii="Century Schoolbook" w:hAnsi="Century Schoolbook" w:cs="Times New Roman"/>
          <w:sz w:val="24"/>
          <w:szCs w:val="24"/>
        </w:rPr>
        <w:t xml:space="preserve"> Select Committee on Safety and Security</w:t>
      </w:r>
      <w:r w:rsidR="000D4696">
        <w:rPr>
          <w:rFonts w:ascii="Century Schoolbook" w:hAnsi="Century Schoolbook" w:cs="Times New Roman"/>
          <w:sz w:val="24"/>
          <w:szCs w:val="24"/>
        </w:rPr>
        <w:t>,</w:t>
      </w:r>
      <w:r w:rsidR="00C55438" w:rsidRPr="006C6879">
        <w:rPr>
          <w:rStyle w:val="FootnoteReference"/>
          <w:rFonts w:ascii="Century Schoolbook" w:hAnsi="Century Schoolbook" w:cs="Times New Roman"/>
          <w:sz w:val="24"/>
          <w:szCs w:val="24"/>
        </w:rPr>
        <w:footnoteReference w:id="38"/>
      </w:r>
      <w:r w:rsidRPr="006C6879">
        <w:rPr>
          <w:rFonts w:ascii="Century Schoolbook" w:hAnsi="Century Schoolbook" w:cs="Times New Roman"/>
          <w:sz w:val="24"/>
          <w:szCs w:val="24"/>
        </w:rPr>
        <w:t xml:space="preserve"> pertinently enquired at its meeting with Board chairperson Mlambo</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JP an</w:t>
      </w:r>
      <w:r w:rsidR="00AA5AD2">
        <w:rPr>
          <w:rFonts w:ascii="Century Schoolbook" w:hAnsi="Century Schoolbook" w:cs="Times New Roman"/>
          <w:sz w:val="24"/>
          <w:szCs w:val="24"/>
        </w:rPr>
        <w:t>d CEO Vedalankar on 30 May 2007</w:t>
      </w:r>
      <w:r w:rsidRPr="006C6879">
        <w:rPr>
          <w:rFonts w:ascii="Century Schoolbook" w:hAnsi="Century Schoolbook" w:cs="Times New Roman"/>
          <w:sz w:val="24"/>
          <w:szCs w:val="24"/>
        </w:rPr>
        <w:t xml:space="preserve"> ‘if the LAB</w:t>
      </w:r>
      <w:r w:rsidR="000009FC">
        <w:rPr>
          <w:rFonts w:ascii="Century Schoolbook" w:hAnsi="Century Schoolbook" w:cs="Times New Roman"/>
          <w:sz w:val="24"/>
          <w:szCs w:val="24"/>
        </w:rPr>
        <w:t xml:space="preserve"> [t</w:t>
      </w:r>
      <w:r w:rsidR="000009FC" w:rsidRPr="000009FC">
        <w:rPr>
          <w:rFonts w:ascii="Century Schoolbook" w:hAnsi="Century Schoolbook" w:cs="Times New Roman"/>
          <w:sz w:val="24"/>
          <w:szCs w:val="24"/>
        </w:rPr>
        <w:t xml:space="preserve">he Legal Aid Board, now </w:t>
      </w:r>
      <w:r w:rsidR="000D4696">
        <w:rPr>
          <w:rFonts w:ascii="Century Schoolbook" w:hAnsi="Century Schoolbook" w:cs="Times New Roman"/>
          <w:sz w:val="24"/>
          <w:szCs w:val="24"/>
        </w:rPr>
        <w:t>LASA</w:t>
      </w:r>
      <w:r w:rsidR="000009FC" w:rsidRPr="000009FC">
        <w:rPr>
          <w:rFonts w:ascii="Century Schoolbook" w:hAnsi="Century Schoolbook" w:cs="Times New Roman"/>
          <w:sz w:val="24"/>
          <w:szCs w:val="24"/>
        </w:rPr>
        <w:t>]</w:t>
      </w:r>
      <w:r w:rsidRPr="006C6879">
        <w:rPr>
          <w:rFonts w:ascii="Century Schoolbook" w:hAnsi="Century Schoolbook" w:cs="Times New Roman"/>
          <w:sz w:val="24"/>
          <w:szCs w:val="24"/>
        </w:rPr>
        <w:t xml:space="preserve"> employed senior litigators’, in view of a ‘complaint’ about ‘service delivery to the effect that LAB lawyers were inexperienced,’ and ‘the issue of lawyers being seen as apprentice lawyers’. Mlambo JP respon</w:t>
      </w:r>
      <w:r w:rsidR="00DC1C8C">
        <w:rPr>
          <w:rFonts w:ascii="Century Schoolbook" w:hAnsi="Century Schoolbook" w:cs="Times New Roman"/>
          <w:sz w:val="24"/>
          <w:szCs w:val="24"/>
        </w:rPr>
        <w:t>ded by</w:t>
      </w:r>
      <w:r w:rsidR="00B07053">
        <w:rPr>
          <w:rFonts w:ascii="Century Schoolbook" w:hAnsi="Century Schoolbook" w:cs="Times New Roman"/>
          <w:sz w:val="24"/>
          <w:szCs w:val="24"/>
        </w:rPr>
        <w:t xml:space="preserve"> admit</w:t>
      </w:r>
      <w:r w:rsidR="00DC1C8C">
        <w:rPr>
          <w:rFonts w:ascii="Century Schoolbook" w:hAnsi="Century Schoolbook" w:cs="Times New Roman"/>
          <w:sz w:val="24"/>
          <w:szCs w:val="24"/>
        </w:rPr>
        <w:t>ting</w:t>
      </w:r>
      <w:r w:rsidR="00B07053">
        <w:rPr>
          <w:rFonts w:ascii="Century Schoolbook" w:hAnsi="Century Schoolbook" w:cs="Times New Roman"/>
          <w:sz w:val="24"/>
          <w:szCs w:val="24"/>
        </w:rPr>
        <w:t>,</w:t>
      </w:r>
      <w:r w:rsidRPr="006C6879">
        <w:rPr>
          <w:rFonts w:ascii="Century Schoolbook" w:hAnsi="Century Schoolbook" w:cs="Times New Roman"/>
          <w:sz w:val="24"/>
          <w:szCs w:val="24"/>
        </w:rPr>
        <w:t xml:space="preserve"> ‘The LAB was aware of constant criticism that they employed inexperienced lawyers to do the work.’</w:t>
      </w:r>
      <w:r w:rsidRPr="006C6879">
        <w:rPr>
          <w:rStyle w:val="FootnoteReference"/>
          <w:rFonts w:ascii="Century Schoolbook" w:hAnsi="Century Schoolbook" w:cs="Times New Roman"/>
          <w:sz w:val="24"/>
          <w:szCs w:val="24"/>
        </w:rPr>
        <w:footnoteReference w:id="39"/>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Again the </w:t>
      </w:r>
      <w:r w:rsidR="00935F8A" w:rsidRPr="006C6879">
        <w:rPr>
          <w:rFonts w:ascii="Century Schoolbook" w:hAnsi="Century Schoolbook" w:cs="Times New Roman"/>
          <w:sz w:val="24"/>
          <w:szCs w:val="24"/>
        </w:rPr>
        <w:t xml:space="preserve">Justice </w:t>
      </w:r>
      <w:r w:rsidRPr="006C6879">
        <w:rPr>
          <w:rFonts w:ascii="Century Schoolbook" w:hAnsi="Century Schoolbook" w:cs="Times New Roman"/>
          <w:sz w:val="24"/>
          <w:szCs w:val="24"/>
        </w:rPr>
        <w:t xml:space="preserve">Portfolio Committee raised its concern about the quality of </w:t>
      </w:r>
      <w:r w:rsidR="007764C7">
        <w:rPr>
          <w:rFonts w:ascii="Century Schoolbook" w:hAnsi="Century Schoolbook" w:cs="Times New Roman"/>
          <w:sz w:val="24"/>
          <w:szCs w:val="24"/>
        </w:rPr>
        <w:t xml:space="preserve">legal </w:t>
      </w:r>
      <w:r w:rsidRPr="006C6879">
        <w:rPr>
          <w:rFonts w:ascii="Century Schoolbook" w:hAnsi="Century Schoolbook" w:cs="Times New Roman"/>
          <w:sz w:val="24"/>
          <w:szCs w:val="24"/>
        </w:rPr>
        <w:t xml:space="preserve">expertise available at LASA when on 5 August 2009 it ‘asked if the Board </w:t>
      </w:r>
      <w:r w:rsidR="000009FC">
        <w:rPr>
          <w:rFonts w:ascii="Century Schoolbook" w:hAnsi="Century Schoolbook" w:cs="Times New Roman"/>
          <w:sz w:val="24"/>
          <w:szCs w:val="24"/>
        </w:rPr>
        <w:t xml:space="preserve">[i.e. LASA] </w:t>
      </w:r>
      <w:r w:rsidRPr="006C6879">
        <w:rPr>
          <w:rFonts w:ascii="Century Schoolbook" w:hAnsi="Century Schoolbook" w:cs="Times New Roman"/>
          <w:sz w:val="24"/>
          <w:szCs w:val="24"/>
        </w:rPr>
        <w:t>was working on improving public perceptions about itself.’</w:t>
      </w:r>
      <w:r w:rsidRPr="006C6879">
        <w:rPr>
          <w:rStyle w:val="FootnoteReference"/>
          <w:rFonts w:ascii="Century Schoolbook" w:hAnsi="Century Schoolbook" w:cs="Times New Roman"/>
          <w:sz w:val="24"/>
          <w:szCs w:val="24"/>
        </w:rPr>
        <w:footnoteReference w:id="40"/>
      </w:r>
      <w:r w:rsidRPr="006C6879">
        <w:rPr>
          <w:rFonts w:ascii="Century Schoolbook" w:hAnsi="Century Schoolbook" w:cs="Times New Roman"/>
          <w:sz w:val="24"/>
          <w:szCs w:val="24"/>
        </w:rPr>
        <w:t xml:space="preserve"> Mlambo</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JP responded by </w:t>
      </w:r>
      <w:r w:rsidR="00B07053">
        <w:rPr>
          <w:rFonts w:ascii="Century Schoolbook" w:hAnsi="Century Schoolbook" w:cs="Times New Roman"/>
          <w:sz w:val="24"/>
          <w:szCs w:val="24"/>
        </w:rPr>
        <w:t xml:space="preserve">again </w:t>
      </w:r>
      <w:r w:rsidRPr="006C6879">
        <w:rPr>
          <w:rFonts w:ascii="Century Schoolbook" w:hAnsi="Century Schoolbook" w:cs="Times New Roman"/>
          <w:sz w:val="24"/>
          <w:szCs w:val="24"/>
        </w:rPr>
        <w:t>conceding that LASA bore ‘a legacy’ of ‘bad public perceptions’.</w:t>
      </w:r>
      <w:r w:rsidRPr="006C6879">
        <w:rPr>
          <w:rStyle w:val="FootnoteReference"/>
          <w:rFonts w:ascii="Century Schoolbook" w:hAnsi="Century Schoolbook" w:cs="Times New Roman"/>
          <w:sz w:val="24"/>
          <w:szCs w:val="24"/>
        </w:rPr>
        <w:footnoteReference w:id="41"/>
      </w:r>
      <w:r w:rsidR="00C55438" w:rsidRPr="006C6879">
        <w:rPr>
          <w:rFonts w:ascii="Century Schoolbook" w:hAnsi="Century Schoolbook" w:cs="Times New Roman"/>
          <w:sz w:val="24"/>
          <w:szCs w:val="24"/>
        </w:rPr>
        <w:t xml:space="preserve"> (</w:t>
      </w:r>
      <w:r w:rsidR="00733A04">
        <w:rPr>
          <w:rFonts w:ascii="Century Schoolbook" w:hAnsi="Century Schoolbook" w:cs="Times New Roman"/>
          <w:sz w:val="24"/>
          <w:szCs w:val="24"/>
        </w:rPr>
        <w:t xml:space="preserve">Mentioned </w:t>
      </w:r>
      <w:r w:rsidR="000D4696">
        <w:rPr>
          <w:rFonts w:ascii="Century Schoolbook" w:hAnsi="Century Schoolbook" w:cs="Times New Roman"/>
          <w:sz w:val="24"/>
          <w:szCs w:val="24"/>
        </w:rPr>
        <w:t xml:space="preserve">in paragraph 27 </w:t>
      </w:r>
      <w:r w:rsidR="00733A04">
        <w:rPr>
          <w:rFonts w:ascii="Century Schoolbook" w:hAnsi="Century Schoolbook" w:cs="Times New Roman"/>
          <w:sz w:val="24"/>
          <w:szCs w:val="24"/>
        </w:rPr>
        <w:t xml:space="preserve">above, </w:t>
      </w:r>
      <w:r w:rsidR="000009FC">
        <w:rPr>
          <w:rFonts w:ascii="Century Schoolbook" w:hAnsi="Century Schoolbook" w:cs="Times New Roman"/>
          <w:sz w:val="24"/>
          <w:szCs w:val="24"/>
        </w:rPr>
        <w:t>LASA</w:t>
      </w:r>
      <w:r w:rsidR="00C55438" w:rsidRPr="006C6879">
        <w:rPr>
          <w:rFonts w:ascii="Century Schoolbook" w:hAnsi="Century Schoolbook" w:cs="Times New Roman"/>
          <w:sz w:val="24"/>
          <w:szCs w:val="24"/>
        </w:rPr>
        <w:t xml:space="preserve"> resolved to create nine new Senior Litigator posts three months later.)</w:t>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Again at its meeting with LASA on 11</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October 2010</w:t>
      </w:r>
      <w:r w:rsidR="00C55438" w:rsidRPr="006C6879">
        <w:rPr>
          <w:rFonts w:ascii="Century Schoolbook" w:hAnsi="Century Schoolbook" w:cs="Times New Roman"/>
          <w:sz w:val="24"/>
          <w:szCs w:val="24"/>
        </w:rPr>
        <w:t>,</w:t>
      </w:r>
      <w:r w:rsidR="00C55438" w:rsidRPr="006C6879">
        <w:rPr>
          <w:rStyle w:val="FootnoteReference"/>
          <w:rFonts w:ascii="Century Schoolbook" w:hAnsi="Century Schoolbook" w:cs="Times New Roman"/>
          <w:sz w:val="24"/>
          <w:szCs w:val="24"/>
        </w:rPr>
        <w:footnoteReference w:id="42"/>
      </w:r>
      <w:r w:rsidRPr="006C6879">
        <w:rPr>
          <w:rFonts w:ascii="Century Schoolbook" w:hAnsi="Century Schoolbook" w:cs="Times New Roman"/>
          <w:sz w:val="24"/>
          <w:szCs w:val="24"/>
        </w:rPr>
        <w:t xml:space="preserve"> ‘The Committee wanted to know about the experience levels of Legal Aid South Africa practitioners as well as their ability to compete with lawyers from … private practice’.</w:t>
      </w:r>
      <w:r w:rsidRPr="006C6879">
        <w:rPr>
          <w:rStyle w:val="FootnoteReference"/>
          <w:rFonts w:ascii="Century Schoolbook" w:hAnsi="Century Schoolbook" w:cs="Times New Roman"/>
          <w:sz w:val="24"/>
          <w:szCs w:val="24"/>
        </w:rPr>
        <w:footnoteReference w:id="43"/>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Again on 3 November 2010, the ‘Chairperson </w:t>
      </w:r>
      <w:r w:rsidR="00557B86" w:rsidRPr="006C6879">
        <w:rPr>
          <w:rFonts w:ascii="Century Schoolbook" w:hAnsi="Century Schoolbook" w:cs="Times New Roman"/>
          <w:sz w:val="24"/>
          <w:szCs w:val="24"/>
        </w:rPr>
        <w:t xml:space="preserve">[of the Portfolio Committee] </w:t>
      </w:r>
      <w:r w:rsidRPr="006C6879">
        <w:rPr>
          <w:rFonts w:ascii="Century Schoolbook" w:hAnsi="Century Schoolbook" w:cs="Times New Roman"/>
          <w:sz w:val="24"/>
          <w:szCs w:val="24"/>
        </w:rPr>
        <w:t xml:space="preserve">remarked that public perceptions of Legal Aid SA were important.’ </w:t>
      </w:r>
      <w:r w:rsidR="00070761">
        <w:rPr>
          <w:rFonts w:ascii="Century Schoolbook" w:hAnsi="Century Schoolbook" w:cs="Times New Roman"/>
          <w:sz w:val="24"/>
          <w:szCs w:val="24"/>
        </w:rPr>
        <w:t>Then</w:t>
      </w:r>
      <w:r w:rsidR="00070761" w:rsidRPr="00AA5AD2">
        <w:rPr>
          <w:rFonts w:ascii="Century Schoolbook" w:hAnsi="Century Schoolbook" w:cs="Times New Roman"/>
          <w:sz w:val="24"/>
          <w:szCs w:val="24"/>
        </w:rPr>
        <w:t xml:space="preserve"> </w:t>
      </w:r>
      <w:r w:rsidR="00070761" w:rsidRPr="006C6879">
        <w:rPr>
          <w:rFonts w:ascii="Century Schoolbook" w:hAnsi="Century Schoolbook" w:cs="Times New Roman"/>
          <w:sz w:val="24"/>
          <w:szCs w:val="24"/>
        </w:rPr>
        <w:t>Legal Development Executive</w:t>
      </w:r>
      <w:r w:rsidR="00070761">
        <w:rPr>
          <w:rFonts w:ascii="Century Schoolbook" w:hAnsi="Century Schoolbook" w:cs="Times New Roman"/>
          <w:sz w:val="24"/>
          <w:szCs w:val="24"/>
        </w:rPr>
        <w:t xml:space="preserve">, now </w:t>
      </w:r>
      <w:r w:rsidR="00AA5AD2">
        <w:rPr>
          <w:rFonts w:ascii="Century Schoolbook" w:hAnsi="Century Schoolbook" w:cs="Times New Roman"/>
          <w:sz w:val="24"/>
          <w:szCs w:val="24"/>
        </w:rPr>
        <w:t xml:space="preserve">CLE </w:t>
      </w:r>
      <w:r w:rsidRPr="006C6879">
        <w:rPr>
          <w:rFonts w:ascii="Century Schoolbook" w:hAnsi="Century Schoolbook" w:cs="Times New Roman"/>
          <w:sz w:val="24"/>
          <w:szCs w:val="24"/>
        </w:rPr>
        <w:t>Hundermark repeated Mlambo</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JP’s concession that there were still ‘remnants’ of ‘the perception’ of poor legal service delivery by LASA.</w:t>
      </w:r>
      <w:r w:rsidRPr="006C6879">
        <w:rPr>
          <w:rStyle w:val="FootnoteReference"/>
          <w:rFonts w:ascii="Century Schoolbook" w:hAnsi="Century Schoolbook" w:cs="Times New Roman"/>
          <w:sz w:val="24"/>
          <w:szCs w:val="24"/>
        </w:rPr>
        <w:footnoteReference w:id="44"/>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lastRenderedPageBreak/>
        <w:t>Again in</w:t>
      </w:r>
      <w:r w:rsidR="007764C7">
        <w:rPr>
          <w:rFonts w:ascii="Century Schoolbook" w:hAnsi="Century Schoolbook" w:cs="Times New Roman"/>
          <w:sz w:val="24"/>
          <w:szCs w:val="24"/>
        </w:rPr>
        <w:t xml:space="preserve"> its pleadings in</w:t>
      </w:r>
      <w:r w:rsidRPr="006C6879">
        <w:rPr>
          <w:rFonts w:ascii="Century Schoolbook" w:hAnsi="Century Schoolbook" w:cs="Times New Roman"/>
          <w:sz w:val="24"/>
          <w:szCs w:val="24"/>
        </w:rPr>
        <w:t xml:space="preserve"> the Durban Labour Court in 2013, LASA conceded that its ‘public image … has, for the most part, been negative due to a perception of incompetence and lack of vital court skills.’</w:t>
      </w:r>
      <w:r w:rsidRPr="006C6879">
        <w:rPr>
          <w:rStyle w:val="FootnoteReference"/>
          <w:rFonts w:ascii="Century Schoolbook" w:hAnsi="Century Schoolbook" w:cs="Times New Roman"/>
          <w:sz w:val="24"/>
          <w:szCs w:val="24"/>
        </w:rPr>
        <w:footnoteReference w:id="45"/>
      </w:r>
      <w:r w:rsidRPr="006C6879">
        <w:rPr>
          <w:rFonts w:ascii="Century Schoolbook" w:hAnsi="Century Schoolbook" w:cs="Times New Roman"/>
          <w:sz w:val="24"/>
          <w:szCs w:val="24"/>
        </w:rPr>
        <w:t xml:space="preserve"> </w:t>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Again in its Strategic Plan 2012–17, LASA identified</w:t>
      </w:r>
      <w:r w:rsidR="00DA59CC" w:rsidRPr="00DA59CC">
        <w:rPr>
          <w:rFonts w:ascii="Century Schoolbook" w:hAnsi="Century Schoolbook" w:cs="Times New Roman"/>
          <w:sz w:val="24"/>
          <w:szCs w:val="24"/>
        </w:rPr>
        <w:t xml:space="preserve"> </w:t>
      </w:r>
      <w:r w:rsidR="00DA59CC" w:rsidRPr="006C6879">
        <w:rPr>
          <w:rFonts w:ascii="Century Schoolbook" w:hAnsi="Century Schoolbook" w:cs="Times New Roman"/>
          <w:sz w:val="24"/>
          <w:szCs w:val="24"/>
        </w:rPr>
        <w:t>among its ‘strategic risks’</w:t>
      </w:r>
      <w:r w:rsidRPr="006C6879">
        <w:rPr>
          <w:rFonts w:ascii="Century Schoolbook" w:hAnsi="Century Schoolbook" w:cs="Times New Roman"/>
          <w:sz w:val="24"/>
          <w:szCs w:val="24"/>
        </w:rPr>
        <w:t xml:space="preserve"> the ‘Quality of legal services offered by Legal Aid SA’ and the ‘Attraction and retention of expertise and specialist skills’</w:t>
      </w:r>
      <w:r w:rsidR="00D834B9" w:rsidRPr="006C6879">
        <w:rPr>
          <w:rFonts w:ascii="Century Schoolbook" w:hAnsi="Century Schoolbook" w:cs="Times New Roman"/>
          <w:sz w:val="24"/>
          <w:szCs w:val="24"/>
        </w:rPr>
        <w:t>.</w:t>
      </w:r>
      <w:r w:rsidRPr="006C6879">
        <w:rPr>
          <w:rStyle w:val="FootnoteReference"/>
          <w:rFonts w:ascii="Century Schoolbook" w:hAnsi="Century Schoolbook" w:cs="Times New Roman"/>
          <w:sz w:val="24"/>
          <w:szCs w:val="24"/>
        </w:rPr>
        <w:footnoteReference w:id="46"/>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Again in its current Strategic Plan 2015–20, LASA </w:t>
      </w:r>
      <w:r w:rsidR="008D7465">
        <w:rPr>
          <w:rFonts w:ascii="Century Schoolbook" w:hAnsi="Century Schoolbook" w:cs="Times New Roman"/>
          <w:sz w:val="24"/>
          <w:szCs w:val="24"/>
        </w:rPr>
        <w:t>confess</w:t>
      </w:r>
      <w:r w:rsidRPr="006C6879">
        <w:rPr>
          <w:rFonts w:ascii="Century Schoolbook" w:hAnsi="Century Schoolbook" w:cs="Times New Roman"/>
          <w:sz w:val="24"/>
          <w:szCs w:val="24"/>
        </w:rPr>
        <w:t>ed th</w:t>
      </w:r>
      <w:r w:rsidR="006A72BF">
        <w:rPr>
          <w:rFonts w:ascii="Century Schoolbook" w:hAnsi="Century Schoolbook" w:cs="Times New Roman"/>
          <w:sz w:val="24"/>
          <w:szCs w:val="24"/>
        </w:rPr>
        <w:t>is</w:t>
      </w:r>
      <w:r w:rsidRPr="006C6879">
        <w:rPr>
          <w:rFonts w:ascii="Century Schoolbook" w:hAnsi="Century Schoolbook" w:cs="Times New Roman"/>
          <w:sz w:val="24"/>
          <w:szCs w:val="24"/>
        </w:rPr>
        <w:t xml:space="preserve"> </w:t>
      </w:r>
      <w:r w:rsidR="00B07053">
        <w:rPr>
          <w:rFonts w:ascii="Century Schoolbook" w:hAnsi="Century Schoolbook" w:cs="Times New Roman"/>
          <w:sz w:val="24"/>
          <w:szCs w:val="24"/>
        </w:rPr>
        <w:t xml:space="preserve">real </w:t>
      </w:r>
      <w:r w:rsidRPr="006C6879">
        <w:rPr>
          <w:rFonts w:ascii="Century Schoolbook" w:hAnsi="Century Schoolbook" w:cs="Times New Roman"/>
          <w:sz w:val="24"/>
          <w:szCs w:val="24"/>
        </w:rPr>
        <w:t>problem</w:t>
      </w:r>
      <w:r w:rsidR="00D834B9"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 as well as other serious problems germane to this complaint</w:t>
      </w:r>
      <w:r w:rsidR="00D834B9"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 now in the most direct and frank terms to date:</w:t>
      </w:r>
    </w:p>
    <w:p w:rsidR="00E77B92" w:rsidRPr="006C6879" w:rsidRDefault="00E77B92" w:rsidP="00E77B92">
      <w:pPr>
        <w:pStyle w:val="ListParagraph"/>
        <w:tabs>
          <w:tab w:val="left" w:pos="284"/>
          <w:tab w:val="left" w:pos="426"/>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The organisation has assessed the strategic risks that have to be mitigated during the strategic plan period and these are as follows: ... Lack of capacity to deliver on the demand for legal services. ... Poor quality of the legal services provided by the Justice Centres ... Unethical, corrupt or fraudulent practices or acts. ... Lack of engagement with the organisational values and culture by employees.</w:t>
      </w:r>
      <w:r w:rsidRPr="006C6879">
        <w:rPr>
          <w:rStyle w:val="FootnoteReference"/>
          <w:rFonts w:ascii="Century Schoolbook" w:hAnsi="Century Schoolbook" w:cs="Times New Roman"/>
          <w:sz w:val="24"/>
          <w:szCs w:val="24"/>
        </w:rPr>
        <w:footnoteReference w:id="47"/>
      </w:r>
    </w:p>
    <w:p w:rsidR="00BE2266" w:rsidRPr="006C6879" w:rsidRDefault="00BE2266" w:rsidP="00BE226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‘Lack of capacity to deliver on the demand for legal services’ and ‘Poor quality of the legal services provided by the Justice Centres’ as a result of ‘Unethical, corrupt or fraudulent practices or acts’ by LASA’s top officers named in paragraph </w:t>
      </w:r>
      <w:r w:rsidR="004C0835">
        <w:rPr>
          <w:rFonts w:ascii="Century Schoolbook" w:hAnsi="Century Schoolbook" w:cs="Times New Roman"/>
          <w:sz w:val="24"/>
          <w:szCs w:val="24"/>
        </w:rPr>
        <w:t xml:space="preserve">6 </w:t>
      </w:r>
      <w:r w:rsidRPr="006C6879">
        <w:rPr>
          <w:rFonts w:ascii="Century Schoolbook" w:hAnsi="Century Schoolbook" w:cs="Times New Roman"/>
          <w:sz w:val="24"/>
          <w:szCs w:val="24"/>
        </w:rPr>
        <w:t>above, and their ‘Lack of engagement with the organisational values’</w:t>
      </w:r>
      <w:r w:rsidR="00C55438" w:rsidRPr="006C6879">
        <w:rPr>
          <w:rFonts w:ascii="Century Schoolbook" w:hAnsi="Century Schoolbook" w:cs="Times New Roman"/>
          <w:sz w:val="24"/>
          <w:szCs w:val="24"/>
        </w:rPr>
        <w:t xml:space="preserve"> </w:t>
      </w:r>
      <w:r w:rsidR="008D7465">
        <w:rPr>
          <w:rFonts w:ascii="Century Schoolbook" w:hAnsi="Century Schoolbook" w:cs="Times New Roman"/>
          <w:sz w:val="24"/>
          <w:szCs w:val="24"/>
        </w:rPr>
        <w:t xml:space="preserve">of LASA </w:t>
      </w:r>
      <w:r w:rsidR="00C55438" w:rsidRPr="006C6879">
        <w:rPr>
          <w:rFonts w:ascii="Century Schoolbook" w:hAnsi="Century Schoolbook" w:cs="Times New Roman"/>
          <w:sz w:val="24"/>
          <w:szCs w:val="24"/>
        </w:rPr>
        <w:t xml:space="preserve">– ethical, legal, and constitutional – </w:t>
      </w:r>
      <w:r w:rsidRPr="006C6879">
        <w:rPr>
          <w:rFonts w:ascii="Century Schoolbook" w:hAnsi="Century Schoolbook" w:cs="Times New Roman"/>
          <w:sz w:val="24"/>
          <w:szCs w:val="24"/>
        </w:rPr>
        <w:t>prescribed by LASA’s Code of Conduct and Ethics</w:t>
      </w:r>
      <w:r w:rsidR="00B07053">
        <w:rPr>
          <w:rStyle w:val="FootnoteReference"/>
          <w:rFonts w:ascii="Century Schoolbook" w:hAnsi="Century Schoolbook" w:cs="Times New Roman"/>
          <w:sz w:val="24"/>
          <w:szCs w:val="24"/>
        </w:rPr>
        <w:footnoteReference w:id="48"/>
      </w:r>
      <w:r w:rsidRPr="006C6879">
        <w:rPr>
          <w:rFonts w:ascii="Century Schoolbook" w:hAnsi="Century Schoolbook" w:cs="Times New Roman"/>
          <w:sz w:val="24"/>
          <w:szCs w:val="24"/>
        </w:rPr>
        <w:t xml:space="preserve"> </w:t>
      </w:r>
      <w:r w:rsidR="008D7465">
        <w:rPr>
          <w:rFonts w:ascii="Century Schoolbook" w:hAnsi="Century Schoolbook" w:cs="Times New Roman"/>
          <w:sz w:val="24"/>
          <w:szCs w:val="24"/>
        </w:rPr>
        <w:t xml:space="preserve">– a </w:t>
      </w:r>
      <w:r w:rsidR="000D4696">
        <w:rPr>
          <w:rFonts w:ascii="Century Schoolbook" w:hAnsi="Century Schoolbook" w:cs="Times New Roman"/>
          <w:sz w:val="24"/>
          <w:szCs w:val="24"/>
        </w:rPr>
        <w:t xml:space="preserve">lack </w:t>
      </w:r>
      <w:r w:rsidR="004C0835">
        <w:rPr>
          <w:rFonts w:ascii="Century Schoolbook" w:hAnsi="Century Schoolbook" w:cs="Times New Roman"/>
          <w:sz w:val="24"/>
          <w:szCs w:val="24"/>
        </w:rPr>
        <w:t>displayed also by the officers named in paragraph 7</w:t>
      </w:r>
      <w:r w:rsidR="008D7465">
        <w:rPr>
          <w:rFonts w:ascii="Century Schoolbook" w:hAnsi="Century Schoolbook" w:cs="Times New Roman"/>
          <w:sz w:val="24"/>
          <w:szCs w:val="24"/>
        </w:rPr>
        <w:t xml:space="preserve"> – </w:t>
      </w:r>
      <w:r w:rsidRPr="006C6879">
        <w:rPr>
          <w:rFonts w:ascii="Century Schoolbook" w:hAnsi="Century Schoolbook" w:cs="Times New Roman"/>
          <w:sz w:val="24"/>
          <w:szCs w:val="24"/>
        </w:rPr>
        <w:t>is precisely the subject of this complaint.</w:t>
      </w:r>
    </w:p>
    <w:p w:rsidR="00CC33D7" w:rsidRDefault="00CC33D7" w:rsidP="00CC33D7">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CC33D7">
        <w:rPr>
          <w:rFonts w:ascii="Century Schoolbook" w:hAnsi="Century Schoolbook" w:cs="Times New Roman"/>
          <w:b/>
          <w:sz w:val="24"/>
          <w:szCs w:val="24"/>
        </w:rPr>
        <w:t xml:space="preserve">THE JUSTICE PORTFOLIO COMMITTEE’S REPEATEDLY EXPRESSED CONCERN THAT VACANT POSTS IN THE JUSTICE CLUSTER BE FILLED, ESPECIALLY CRITICAL POSTS </w:t>
      </w:r>
    </w:p>
    <w:p w:rsidR="00AA6A9A" w:rsidRPr="006C6879" w:rsidRDefault="00AA6A9A" w:rsidP="00CC33D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olor w:val="000000" w:themeColor="text1"/>
          <w:sz w:val="24"/>
          <w:szCs w:val="24"/>
        </w:rPr>
        <w:t>On 4 May 2010</w:t>
      </w:r>
      <w:r w:rsidR="00871F5B">
        <w:rPr>
          <w:rFonts w:ascii="Century Schoolbook" w:hAnsi="Century Schoolbook"/>
          <w:color w:val="000000" w:themeColor="text1"/>
          <w:sz w:val="24"/>
          <w:szCs w:val="24"/>
        </w:rPr>
        <w:t>,</w:t>
      </w:r>
      <w:r w:rsidRPr="006C6879">
        <w:rPr>
          <w:rFonts w:ascii="Century Schoolbook" w:hAnsi="Century Schoolbook"/>
          <w:color w:val="000000" w:themeColor="text1"/>
          <w:sz w:val="24"/>
          <w:szCs w:val="24"/>
        </w:rPr>
        <w:t xml:space="preserve"> the Justice Portfolio Committee raised the fact that it: </w:t>
      </w:r>
    </w:p>
    <w:p w:rsidR="00AA6A9A" w:rsidRPr="006C6879" w:rsidRDefault="00AA6A9A" w:rsidP="00AA6A9A">
      <w:pPr>
        <w:pStyle w:val="ListParagraph"/>
        <w:spacing w:line="360" w:lineRule="auto"/>
        <w:ind w:right="1372"/>
        <w:contextualSpacing w:val="0"/>
        <w:rPr>
          <w:rFonts w:ascii="Century Schoolbook" w:hAnsi="Century Schoolbook" w:cs="Times New Roman"/>
          <w:sz w:val="24"/>
          <w:szCs w:val="24"/>
        </w:rPr>
      </w:pPr>
      <w:r w:rsidRPr="006C6879">
        <w:rPr>
          <w:rFonts w:ascii="Century Schoolbook" w:hAnsi="Century Schoolbook"/>
          <w:color w:val="000000" w:themeColor="text1"/>
          <w:sz w:val="24"/>
          <w:szCs w:val="24"/>
        </w:rPr>
        <w:lastRenderedPageBreak/>
        <w:t>has several times previously expressed its concern about the negative consequences that vacancies can have for the delivery of justice services. Also, the committee believes that although the use of savings from vacant posts to fund other projects (such as the implementation of the OSD) may be understandable, the practice is potentially risky as it may discourage the filling of posts. … The Committee recommends that all critical posts be filled as soon as possible, especially given the fact that the Department has the budget for the posts. It intends to continue to monitor progress closely.</w:t>
      </w:r>
      <w:r w:rsidRPr="006C6879">
        <w:rPr>
          <w:rStyle w:val="FootnoteReference"/>
          <w:rFonts w:ascii="Century Schoolbook" w:hAnsi="Century Schoolbook"/>
          <w:color w:val="000000" w:themeColor="text1"/>
          <w:sz w:val="24"/>
          <w:szCs w:val="24"/>
        </w:rPr>
        <w:footnoteReference w:id="49"/>
      </w:r>
    </w:p>
    <w:p w:rsidR="00E63348" w:rsidRPr="006C6879" w:rsidRDefault="00E63348" w:rsidP="00E63348">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6C6879">
        <w:rPr>
          <w:rFonts w:ascii="Century Schoolbook" w:hAnsi="Century Schoolbook" w:cs="Times New Roman"/>
          <w:b/>
          <w:sz w:val="24"/>
          <w:szCs w:val="24"/>
        </w:rPr>
        <w:t xml:space="preserve">THE JUSTICE MINISTER’S </w:t>
      </w:r>
      <w:r w:rsidR="00871F5B">
        <w:rPr>
          <w:rFonts w:ascii="Century Schoolbook" w:hAnsi="Century Schoolbook" w:cs="Times New Roman"/>
          <w:b/>
          <w:sz w:val="24"/>
          <w:szCs w:val="24"/>
        </w:rPr>
        <w:t xml:space="preserve">SPECIFIC </w:t>
      </w:r>
      <w:r w:rsidR="00C23F6F" w:rsidRPr="006C6879">
        <w:rPr>
          <w:rFonts w:ascii="Century Schoolbook" w:hAnsi="Century Schoolbook" w:cs="Times New Roman"/>
          <w:b/>
          <w:sz w:val="24"/>
          <w:szCs w:val="24"/>
        </w:rPr>
        <w:t>CONCERN</w:t>
      </w:r>
      <w:r w:rsidR="004D2148" w:rsidRPr="006C6879">
        <w:rPr>
          <w:rFonts w:ascii="Century Schoolbook" w:hAnsi="Century Schoolbook" w:cs="Times New Roman"/>
          <w:b/>
          <w:sz w:val="24"/>
          <w:szCs w:val="24"/>
        </w:rPr>
        <w:t xml:space="preserve"> STATED</w:t>
      </w:r>
      <w:r w:rsidR="00EC0321" w:rsidRPr="006C6879">
        <w:rPr>
          <w:rFonts w:ascii="Century Schoolbook" w:hAnsi="Century Schoolbook" w:cs="Times New Roman"/>
          <w:b/>
          <w:sz w:val="24"/>
          <w:szCs w:val="24"/>
        </w:rPr>
        <w:t xml:space="preserve"> TO LASA’S CHAIRPERSON</w:t>
      </w:r>
      <w:r w:rsidR="00940367">
        <w:rPr>
          <w:rFonts w:ascii="Century Schoolbook" w:hAnsi="Century Schoolbook" w:cs="Times New Roman"/>
          <w:b/>
          <w:sz w:val="24"/>
          <w:szCs w:val="24"/>
        </w:rPr>
        <w:t xml:space="preserve"> </w:t>
      </w:r>
      <w:r w:rsidRPr="006C6879">
        <w:rPr>
          <w:rFonts w:ascii="Century Schoolbook" w:hAnsi="Century Schoolbook" w:cs="Times New Roman"/>
          <w:b/>
          <w:sz w:val="24"/>
          <w:szCs w:val="24"/>
        </w:rPr>
        <w:t>THAT LASA SHOULD FILL ITS VACANT POSTS AND NOT FREEZE ANY</w:t>
      </w:r>
      <w:r w:rsidR="007A5698">
        <w:rPr>
          <w:rFonts w:ascii="Century Schoolbook" w:hAnsi="Century Schoolbook" w:cs="Times New Roman"/>
          <w:b/>
          <w:sz w:val="24"/>
          <w:szCs w:val="24"/>
        </w:rPr>
        <w:t>,</w:t>
      </w:r>
      <w:r w:rsidRPr="006C6879">
        <w:rPr>
          <w:rFonts w:ascii="Century Schoolbook" w:hAnsi="Century Schoolbook" w:cs="Times New Roman"/>
          <w:b/>
          <w:sz w:val="24"/>
          <w:szCs w:val="24"/>
        </w:rPr>
        <w:t xml:space="preserve"> AND THAT IT SHOULD MAINTAIN </w:t>
      </w:r>
      <w:r w:rsidR="004C0835">
        <w:rPr>
          <w:rFonts w:ascii="Century Schoolbook" w:hAnsi="Century Schoolbook" w:cs="Times New Roman"/>
          <w:b/>
          <w:sz w:val="24"/>
          <w:szCs w:val="24"/>
        </w:rPr>
        <w:t xml:space="preserve">ITS </w:t>
      </w:r>
      <w:r w:rsidR="004C0835" w:rsidRPr="006C6879">
        <w:rPr>
          <w:rFonts w:ascii="Century Schoolbook" w:hAnsi="Century Schoolbook" w:cs="Times New Roman"/>
          <w:b/>
          <w:sz w:val="24"/>
          <w:szCs w:val="24"/>
        </w:rPr>
        <w:t xml:space="preserve">DELIVERY </w:t>
      </w:r>
      <w:r w:rsidR="004C0835">
        <w:rPr>
          <w:rFonts w:ascii="Century Schoolbook" w:hAnsi="Century Schoolbook" w:cs="Times New Roman"/>
          <w:b/>
          <w:sz w:val="24"/>
          <w:szCs w:val="24"/>
        </w:rPr>
        <w:t xml:space="preserve">OF </w:t>
      </w:r>
      <w:r w:rsidRPr="006C6879">
        <w:rPr>
          <w:rFonts w:ascii="Century Schoolbook" w:hAnsi="Century Schoolbook" w:cs="Times New Roman"/>
          <w:b/>
          <w:sz w:val="24"/>
          <w:szCs w:val="24"/>
        </w:rPr>
        <w:t>LEGAL SERVICE</w:t>
      </w:r>
      <w:r w:rsidR="004C0835">
        <w:rPr>
          <w:rFonts w:ascii="Century Schoolbook" w:hAnsi="Century Schoolbook" w:cs="Times New Roman"/>
          <w:b/>
          <w:sz w:val="24"/>
          <w:szCs w:val="24"/>
        </w:rPr>
        <w:t>S</w:t>
      </w:r>
      <w:r w:rsidR="00BF75C0" w:rsidRPr="00BF75C0">
        <w:rPr>
          <w:rFonts w:ascii="Century Schoolbook" w:hAnsi="Century Schoolbook" w:cs="Times New Roman"/>
          <w:b/>
          <w:sz w:val="24"/>
          <w:szCs w:val="24"/>
        </w:rPr>
        <w:t xml:space="preserve"> </w:t>
      </w:r>
      <w:r w:rsidR="00BF75C0">
        <w:rPr>
          <w:rFonts w:ascii="Century Schoolbook" w:hAnsi="Century Schoolbook" w:cs="Times New Roman"/>
          <w:b/>
          <w:sz w:val="24"/>
          <w:szCs w:val="24"/>
        </w:rPr>
        <w:t>AS PLANNED</w:t>
      </w:r>
    </w:p>
    <w:p w:rsidR="007A5698" w:rsidRPr="007A5698" w:rsidRDefault="00A83491" w:rsidP="00A83491">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On 16 July 2010, COO </w:t>
      </w:r>
      <w:r w:rsidRPr="006C6879">
        <w:rPr>
          <w:rFonts w:ascii="Century Schoolbook" w:hAnsi="Century Schoolbook" w:cs="Calibri"/>
          <w:color w:val="000000" w:themeColor="text1"/>
          <w:sz w:val="24"/>
          <w:szCs w:val="24"/>
        </w:rPr>
        <w:t>Makokoane</w:t>
      </w:r>
      <w:r w:rsidRPr="006C6879">
        <w:rPr>
          <w:rStyle w:val="FootnoteReference"/>
          <w:rFonts w:ascii="Century Schoolbook" w:hAnsi="Century Schoolbook" w:cs="Calibri"/>
          <w:color w:val="000000" w:themeColor="text1"/>
          <w:sz w:val="24"/>
          <w:szCs w:val="24"/>
        </w:rPr>
        <w:footnoteReference w:id="50"/>
      </w:r>
      <w:r w:rsidRPr="006C6879">
        <w:rPr>
          <w:rFonts w:ascii="Century Schoolbook" w:hAnsi="Century Schoolbook" w:cs="Calibri"/>
          <w:color w:val="000000" w:themeColor="text1"/>
          <w:sz w:val="24"/>
          <w:szCs w:val="24"/>
        </w:rPr>
        <w:t xml:space="preserve"> submitted a ‘Report to Board’</w:t>
      </w:r>
      <w:r w:rsidRPr="006C6879">
        <w:rPr>
          <w:rStyle w:val="FootnoteReference"/>
          <w:rFonts w:ascii="Century Schoolbook" w:hAnsi="Century Schoolbook" w:cs="Calibri"/>
          <w:color w:val="000000" w:themeColor="text1"/>
          <w:sz w:val="24"/>
          <w:szCs w:val="24"/>
        </w:rPr>
        <w:footnoteReference w:id="51"/>
      </w:r>
      <w:r w:rsidRPr="006C6879">
        <w:rPr>
          <w:rFonts w:ascii="Century Schoolbook" w:hAnsi="Century Schoolbook" w:cs="Calibri"/>
          <w:color w:val="000000" w:themeColor="text1"/>
          <w:sz w:val="24"/>
          <w:szCs w:val="24"/>
        </w:rPr>
        <w:t xml:space="preserve"> recording</w:t>
      </w:r>
      <w:r w:rsidR="00D57BA9">
        <w:rPr>
          <w:rFonts w:ascii="Century Schoolbook" w:hAnsi="Century Schoolbook" w:cs="Calibri"/>
          <w:color w:val="000000" w:themeColor="text1"/>
          <w:sz w:val="24"/>
          <w:szCs w:val="24"/>
        </w:rPr>
        <w:t xml:space="preserve"> that</w:t>
      </w:r>
      <w:r w:rsidR="007A5698">
        <w:rPr>
          <w:rFonts w:ascii="Century Schoolbook" w:hAnsi="Century Schoolbook" w:cs="Calibri"/>
          <w:color w:val="000000" w:themeColor="text1"/>
          <w:sz w:val="24"/>
          <w:szCs w:val="24"/>
        </w:rPr>
        <w:t xml:space="preserve">: </w:t>
      </w:r>
    </w:p>
    <w:p w:rsidR="00FD3288" w:rsidRPr="00FD3288" w:rsidRDefault="00D57BA9" w:rsidP="007A5698">
      <w:pPr>
        <w:pStyle w:val="ListParagraph"/>
        <w:tabs>
          <w:tab w:val="left" w:pos="284"/>
          <w:tab w:val="left" w:pos="426"/>
        </w:tabs>
        <w:spacing w:line="360" w:lineRule="auto"/>
        <w:contextualSpacing w:val="0"/>
        <w:rPr>
          <w:rFonts w:ascii="Century Schoolbook" w:hAnsi="Century Schoolbook" w:cs="Times New Roman"/>
          <w:sz w:val="24"/>
          <w:szCs w:val="24"/>
        </w:rPr>
      </w:pPr>
      <w:r>
        <w:rPr>
          <w:rFonts w:ascii="Century Schoolbook" w:hAnsi="Century Schoolbook" w:cs="Calibri"/>
          <w:color w:val="000000" w:themeColor="text1"/>
          <w:sz w:val="24"/>
          <w:szCs w:val="24"/>
        </w:rPr>
        <w:t>t</w:t>
      </w:r>
      <w:r w:rsidR="00A83491" w:rsidRPr="006C6879">
        <w:rPr>
          <w:rFonts w:ascii="Century Schoolbook" w:hAnsi="Century Schoolbook" w:cs="Calibri"/>
          <w:color w:val="000000" w:themeColor="text1"/>
          <w:sz w:val="24"/>
          <w:szCs w:val="24"/>
        </w:rPr>
        <w:t xml:space="preserve">he Executive Authority [i.e. </w:t>
      </w:r>
      <w:r w:rsidR="00163322">
        <w:rPr>
          <w:rFonts w:ascii="Century Schoolbook" w:hAnsi="Century Schoolbook" w:cs="Calibri"/>
          <w:color w:val="000000" w:themeColor="text1"/>
          <w:sz w:val="24"/>
          <w:szCs w:val="24"/>
        </w:rPr>
        <w:t>the</w:t>
      </w:r>
      <w:r w:rsidR="00A83491" w:rsidRPr="006C6879">
        <w:rPr>
          <w:rFonts w:ascii="Century Schoolbook" w:hAnsi="Century Schoolbook" w:cs="Calibri"/>
          <w:color w:val="000000" w:themeColor="text1"/>
          <w:sz w:val="24"/>
          <w:szCs w:val="24"/>
        </w:rPr>
        <w:t xml:space="preserve"> Minister] has … in a meeting with the Legal Aid SA Board Chairperson expressed his wish to have Legal Aid SA service delivery maintained and that DoJ should make funds available to cover the OSD shortfall through the mid-year budget adjustments in September/October 2010.</w:t>
      </w:r>
      <w:r w:rsidR="00A83491" w:rsidRPr="006C6879">
        <w:rPr>
          <w:rStyle w:val="FootnoteReference"/>
          <w:rFonts w:ascii="Century Schoolbook" w:hAnsi="Century Schoolbook" w:cs="Calibri"/>
          <w:color w:val="000000" w:themeColor="text1"/>
          <w:sz w:val="24"/>
          <w:szCs w:val="24"/>
        </w:rPr>
        <w:footnoteReference w:id="52"/>
      </w:r>
      <w:r w:rsidR="00A83491" w:rsidRPr="006C6879">
        <w:rPr>
          <w:rFonts w:ascii="Century Schoolbook" w:hAnsi="Century Schoolbook" w:cs="Calibri"/>
          <w:color w:val="000000" w:themeColor="text1"/>
          <w:sz w:val="24"/>
          <w:szCs w:val="24"/>
        </w:rPr>
        <w:t xml:space="preserve"> </w:t>
      </w:r>
    </w:p>
    <w:p w:rsidR="00A83491" w:rsidRPr="006C6879" w:rsidRDefault="00D57BA9" w:rsidP="00A83491">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Calibri"/>
          <w:color w:val="000000" w:themeColor="text1"/>
          <w:sz w:val="24"/>
          <w:szCs w:val="24"/>
        </w:rPr>
        <w:t xml:space="preserve">COO </w:t>
      </w:r>
      <w:r w:rsidR="00A05A15" w:rsidRPr="006C6879">
        <w:rPr>
          <w:rFonts w:ascii="Century Schoolbook" w:hAnsi="Century Schoolbook" w:cs="Calibri"/>
          <w:color w:val="000000" w:themeColor="text1"/>
          <w:sz w:val="24"/>
          <w:szCs w:val="24"/>
        </w:rPr>
        <w:t>Makokoane was referring to the fact that f</w:t>
      </w:r>
      <w:r w:rsidR="00A83491" w:rsidRPr="006C6879">
        <w:rPr>
          <w:rFonts w:ascii="Century Schoolbook" w:hAnsi="Century Schoolbook" w:cs="Calibri"/>
          <w:color w:val="000000" w:themeColor="text1"/>
          <w:sz w:val="24"/>
          <w:szCs w:val="24"/>
        </w:rPr>
        <w:t>unding for</w:t>
      </w:r>
      <w:r w:rsidRPr="00D57BA9">
        <w:rPr>
          <w:rFonts w:ascii="Century Schoolbook" w:hAnsi="Century Schoolbook" w:cs="Calibri"/>
          <w:color w:val="000000" w:themeColor="text1"/>
          <w:sz w:val="24"/>
          <w:szCs w:val="24"/>
        </w:rPr>
        <w:t xml:space="preserve"> </w:t>
      </w:r>
      <w:r w:rsidRPr="006C6879">
        <w:rPr>
          <w:rFonts w:ascii="Century Schoolbook" w:hAnsi="Century Schoolbook" w:cs="Calibri"/>
          <w:color w:val="000000" w:themeColor="text1"/>
          <w:sz w:val="24"/>
          <w:szCs w:val="24"/>
        </w:rPr>
        <w:t>salary increases</w:t>
      </w:r>
      <w:r w:rsidR="00A83491" w:rsidRPr="006C6879">
        <w:rPr>
          <w:rFonts w:ascii="Century Schoolbook" w:hAnsi="Century Schoolbook" w:cs="Calibri"/>
          <w:color w:val="000000" w:themeColor="text1"/>
          <w:sz w:val="24"/>
          <w:szCs w:val="24"/>
        </w:rPr>
        <w:t xml:space="preserve"> </w:t>
      </w:r>
      <w:r>
        <w:rPr>
          <w:rFonts w:ascii="Century Schoolbook" w:hAnsi="Century Schoolbook" w:cs="Calibri"/>
          <w:color w:val="000000" w:themeColor="text1"/>
          <w:sz w:val="24"/>
          <w:szCs w:val="24"/>
        </w:rPr>
        <w:t xml:space="preserve">for </w:t>
      </w:r>
      <w:r w:rsidR="004C0835">
        <w:rPr>
          <w:rFonts w:ascii="Century Schoolbook" w:hAnsi="Century Schoolbook" w:cs="Calibri"/>
          <w:color w:val="000000" w:themeColor="text1"/>
          <w:sz w:val="24"/>
          <w:szCs w:val="24"/>
        </w:rPr>
        <w:t xml:space="preserve">legal staff </w:t>
      </w:r>
      <w:r w:rsidR="00A83491" w:rsidRPr="006C6879">
        <w:rPr>
          <w:rFonts w:ascii="Century Schoolbook" w:hAnsi="Century Schoolbook" w:cs="Calibri"/>
          <w:color w:val="000000" w:themeColor="text1"/>
          <w:sz w:val="24"/>
          <w:szCs w:val="24"/>
        </w:rPr>
        <w:t>under Phase 1 of the Occupational Special Dispensation</w:t>
      </w:r>
      <w:r w:rsidR="00C76B2B">
        <w:rPr>
          <w:rFonts w:ascii="Century Schoolbook" w:hAnsi="Century Schoolbook" w:cs="Calibri"/>
          <w:color w:val="000000" w:themeColor="text1"/>
          <w:sz w:val="24"/>
          <w:szCs w:val="24"/>
        </w:rPr>
        <w:t xml:space="preserve"> (OSD)</w:t>
      </w:r>
      <w:r w:rsidR="00A83491" w:rsidRPr="006C6879">
        <w:rPr>
          <w:rFonts w:ascii="Century Schoolbook" w:hAnsi="Century Schoolbook" w:cs="Calibri"/>
          <w:color w:val="000000" w:themeColor="text1"/>
          <w:sz w:val="24"/>
          <w:szCs w:val="24"/>
        </w:rPr>
        <w:t xml:space="preserve"> scheme hadn’t been included in LASA’s baseline budget for 2010/11, as LASA </w:t>
      </w:r>
      <w:r w:rsidR="009510E4">
        <w:rPr>
          <w:rFonts w:ascii="Century Schoolbook" w:hAnsi="Century Schoolbook" w:cs="Calibri"/>
          <w:color w:val="000000" w:themeColor="text1"/>
          <w:sz w:val="24"/>
          <w:szCs w:val="24"/>
        </w:rPr>
        <w:t>learn</w:t>
      </w:r>
      <w:r w:rsidR="00A83491" w:rsidRPr="006C6879">
        <w:rPr>
          <w:rFonts w:ascii="Century Schoolbook" w:hAnsi="Century Schoolbook" w:cs="Calibri"/>
          <w:color w:val="000000" w:themeColor="text1"/>
          <w:sz w:val="24"/>
          <w:szCs w:val="24"/>
        </w:rPr>
        <w:t>ed in March 2010;</w:t>
      </w:r>
      <w:r w:rsidR="00A83491" w:rsidRPr="006C6879">
        <w:rPr>
          <w:rStyle w:val="FootnoteReference"/>
          <w:rFonts w:ascii="Century Schoolbook" w:hAnsi="Century Schoolbook" w:cs="Calibri"/>
          <w:color w:val="000000" w:themeColor="text1"/>
          <w:sz w:val="24"/>
          <w:szCs w:val="24"/>
        </w:rPr>
        <w:footnoteReference w:id="53"/>
      </w:r>
      <w:r w:rsidR="00A83491" w:rsidRPr="006C6879">
        <w:rPr>
          <w:rFonts w:ascii="Century Schoolbook" w:hAnsi="Century Schoolbook" w:cs="Calibri"/>
          <w:color w:val="000000" w:themeColor="text1"/>
          <w:sz w:val="24"/>
          <w:szCs w:val="24"/>
        </w:rPr>
        <w:t xml:space="preserve"> but </w:t>
      </w:r>
      <w:r w:rsidR="00C76B2B">
        <w:rPr>
          <w:rFonts w:ascii="Century Schoolbook" w:hAnsi="Century Schoolbook" w:cs="Calibri"/>
          <w:color w:val="000000" w:themeColor="text1"/>
          <w:sz w:val="24"/>
          <w:szCs w:val="24"/>
        </w:rPr>
        <w:t>as undertaken by</w:t>
      </w:r>
      <w:r w:rsidR="00A05A15" w:rsidRPr="006C6879">
        <w:rPr>
          <w:rFonts w:ascii="Century Schoolbook" w:hAnsi="Century Schoolbook" w:cs="Calibri"/>
          <w:color w:val="000000" w:themeColor="text1"/>
          <w:sz w:val="24"/>
          <w:szCs w:val="24"/>
        </w:rPr>
        <w:t xml:space="preserve"> t</w:t>
      </w:r>
      <w:r w:rsidR="00A83491" w:rsidRPr="006C6879">
        <w:rPr>
          <w:rFonts w:ascii="Century Schoolbook" w:hAnsi="Century Schoolbook" w:cs="Calibri"/>
          <w:color w:val="000000" w:themeColor="text1"/>
          <w:sz w:val="24"/>
          <w:szCs w:val="24"/>
        </w:rPr>
        <w:t>he Minister</w:t>
      </w:r>
      <w:r>
        <w:rPr>
          <w:rFonts w:ascii="Century Schoolbook" w:hAnsi="Century Schoolbook" w:cs="Calibri"/>
          <w:color w:val="000000" w:themeColor="text1"/>
          <w:sz w:val="24"/>
          <w:szCs w:val="24"/>
        </w:rPr>
        <w:t xml:space="preserve"> to chairperson </w:t>
      </w:r>
      <w:r>
        <w:rPr>
          <w:rFonts w:ascii="Century Schoolbook" w:hAnsi="Century Schoolbook" w:cs="Calibri"/>
          <w:color w:val="000000" w:themeColor="text1"/>
          <w:sz w:val="24"/>
          <w:szCs w:val="24"/>
        </w:rPr>
        <w:lastRenderedPageBreak/>
        <w:t>Mlambo JP</w:t>
      </w:r>
      <w:r w:rsidR="009A71E3">
        <w:rPr>
          <w:rFonts w:ascii="Century Schoolbook" w:hAnsi="Century Schoolbook" w:cs="Calibri"/>
          <w:color w:val="000000" w:themeColor="text1"/>
          <w:sz w:val="24"/>
          <w:szCs w:val="24"/>
        </w:rPr>
        <w:t>,</w:t>
      </w:r>
      <w:r w:rsidR="00A83491" w:rsidRPr="006C6879">
        <w:rPr>
          <w:rFonts w:ascii="Century Schoolbook" w:hAnsi="Century Schoolbook" w:cs="Calibri"/>
          <w:color w:val="000000" w:themeColor="text1"/>
          <w:sz w:val="24"/>
          <w:szCs w:val="24"/>
        </w:rPr>
        <w:t xml:space="preserve"> </w:t>
      </w:r>
      <w:r w:rsidR="00A05A15" w:rsidRPr="006C6879">
        <w:rPr>
          <w:rFonts w:ascii="Century Schoolbook" w:hAnsi="Century Schoolbook" w:cs="Calibri"/>
          <w:color w:val="000000" w:themeColor="text1"/>
          <w:sz w:val="24"/>
          <w:szCs w:val="24"/>
        </w:rPr>
        <w:t xml:space="preserve">provision for </w:t>
      </w:r>
      <w:r w:rsidR="00A83491" w:rsidRPr="006C6879">
        <w:rPr>
          <w:rFonts w:ascii="Century Schoolbook" w:hAnsi="Century Schoolbook" w:cs="Calibri"/>
          <w:color w:val="000000" w:themeColor="text1"/>
          <w:sz w:val="24"/>
          <w:szCs w:val="24"/>
        </w:rPr>
        <w:t xml:space="preserve">this additional funding was </w:t>
      </w:r>
      <w:r w:rsidR="009543BA">
        <w:rPr>
          <w:rFonts w:ascii="Century Schoolbook" w:hAnsi="Century Schoolbook" w:cs="Calibri"/>
          <w:color w:val="000000" w:themeColor="text1"/>
          <w:sz w:val="24"/>
          <w:szCs w:val="24"/>
        </w:rPr>
        <w:t xml:space="preserve">indeed </w:t>
      </w:r>
      <w:r w:rsidR="00A05A15" w:rsidRPr="006C6879">
        <w:rPr>
          <w:rFonts w:ascii="Century Schoolbook" w:hAnsi="Century Schoolbook" w:cs="Calibri"/>
          <w:color w:val="000000" w:themeColor="text1"/>
          <w:sz w:val="24"/>
          <w:szCs w:val="24"/>
        </w:rPr>
        <w:t>made</w:t>
      </w:r>
      <w:r w:rsidR="00E8666C">
        <w:rPr>
          <w:rStyle w:val="FootnoteReference"/>
          <w:rFonts w:ascii="Century Schoolbook" w:hAnsi="Century Schoolbook" w:cs="Calibri"/>
          <w:color w:val="000000" w:themeColor="text1"/>
          <w:sz w:val="24"/>
          <w:szCs w:val="24"/>
        </w:rPr>
        <w:footnoteReference w:id="54"/>
      </w:r>
      <w:r w:rsidR="00A83491" w:rsidRPr="006C6879">
        <w:rPr>
          <w:rFonts w:ascii="Century Schoolbook" w:hAnsi="Century Schoolbook" w:cs="Calibri"/>
          <w:color w:val="000000" w:themeColor="text1"/>
          <w:sz w:val="24"/>
          <w:szCs w:val="24"/>
        </w:rPr>
        <w:t xml:space="preserve"> in the </w:t>
      </w:r>
      <w:r w:rsidR="00D71190" w:rsidRPr="006C6879">
        <w:rPr>
          <w:rFonts w:ascii="Century Schoolbook" w:hAnsi="Century Schoolbook" w:cs="Calibri"/>
          <w:color w:val="000000" w:themeColor="text1"/>
          <w:sz w:val="24"/>
          <w:szCs w:val="24"/>
        </w:rPr>
        <w:t xml:space="preserve">national </w:t>
      </w:r>
      <w:r w:rsidR="00A83491" w:rsidRPr="006C6879">
        <w:rPr>
          <w:rFonts w:ascii="Century Schoolbook" w:hAnsi="Century Schoolbook" w:cs="Calibri"/>
          <w:color w:val="000000" w:themeColor="text1"/>
          <w:sz w:val="24"/>
          <w:szCs w:val="24"/>
        </w:rPr>
        <w:t>mid-term budget in October 2010</w:t>
      </w:r>
      <w:r w:rsidR="00A83491" w:rsidRPr="006C6879">
        <w:rPr>
          <w:rStyle w:val="FootnoteReference"/>
          <w:rFonts w:ascii="Century Schoolbook" w:hAnsi="Century Schoolbook" w:cs="Calibri"/>
          <w:color w:val="000000" w:themeColor="text1"/>
          <w:sz w:val="24"/>
          <w:szCs w:val="24"/>
        </w:rPr>
        <w:footnoteReference w:id="55"/>
      </w:r>
      <w:r w:rsidR="00A83491" w:rsidRPr="006C6879">
        <w:rPr>
          <w:rFonts w:ascii="Century Schoolbook" w:hAnsi="Century Schoolbook" w:cs="Calibri"/>
          <w:color w:val="000000" w:themeColor="text1"/>
          <w:sz w:val="24"/>
          <w:szCs w:val="24"/>
        </w:rPr>
        <w:t xml:space="preserve"> and </w:t>
      </w:r>
      <w:r w:rsidR="00C76B2B">
        <w:rPr>
          <w:rFonts w:ascii="Century Schoolbook" w:hAnsi="Century Schoolbook" w:cs="Calibri"/>
          <w:color w:val="000000" w:themeColor="text1"/>
          <w:sz w:val="24"/>
          <w:szCs w:val="24"/>
        </w:rPr>
        <w:t xml:space="preserve">it was </w:t>
      </w:r>
      <w:r w:rsidR="00A83491" w:rsidRPr="006C6879">
        <w:rPr>
          <w:rFonts w:ascii="Century Schoolbook" w:hAnsi="Century Schoolbook" w:cs="Calibri"/>
          <w:color w:val="000000" w:themeColor="text1"/>
          <w:sz w:val="24"/>
          <w:szCs w:val="24"/>
        </w:rPr>
        <w:t>paid to LASA</w:t>
      </w:r>
      <w:r w:rsidR="00A83491" w:rsidRPr="00E8666C">
        <w:rPr>
          <w:rFonts w:ascii="Century Schoolbook" w:hAnsi="Century Schoolbook" w:cs="Calibri"/>
          <w:color w:val="000000" w:themeColor="text1"/>
          <w:sz w:val="24"/>
          <w:szCs w:val="24"/>
        </w:rPr>
        <w:t xml:space="preserve"> </w:t>
      </w:r>
      <w:r w:rsidR="00E8666C" w:rsidRPr="00E8666C">
        <w:rPr>
          <w:rFonts w:ascii="Century Schoolbook" w:hAnsi="Century Schoolbook" w:cs="Calibri"/>
          <w:color w:val="000000" w:themeColor="text1"/>
          <w:sz w:val="24"/>
          <w:szCs w:val="24"/>
        </w:rPr>
        <w:t>on</w:t>
      </w:r>
      <w:r w:rsidR="00A83491" w:rsidRPr="00E8666C">
        <w:rPr>
          <w:rFonts w:ascii="Century Schoolbook" w:hAnsi="Century Schoolbook" w:cs="Calibri"/>
          <w:color w:val="000000" w:themeColor="text1"/>
          <w:sz w:val="24"/>
          <w:szCs w:val="24"/>
        </w:rPr>
        <w:t xml:space="preserve"> </w:t>
      </w:r>
      <w:r w:rsidR="00E8666C" w:rsidRPr="00E8666C">
        <w:rPr>
          <w:rFonts w:ascii="Century Schoolbook" w:hAnsi="Century Schoolbook" w:cs="Calibri"/>
          <w:color w:val="000000" w:themeColor="text1"/>
          <w:sz w:val="24"/>
          <w:szCs w:val="24"/>
        </w:rPr>
        <w:t>15</w:t>
      </w:r>
      <w:r w:rsidR="00E93CF4">
        <w:rPr>
          <w:rFonts w:ascii="Century Schoolbook" w:hAnsi="Century Schoolbook" w:cs="Calibri"/>
          <w:color w:val="000000" w:themeColor="text1"/>
          <w:sz w:val="24"/>
          <w:szCs w:val="24"/>
        </w:rPr>
        <w:t xml:space="preserve"> </w:t>
      </w:r>
      <w:r w:rsidR="00E8666C" w:rsidRPr="00E8666C">
        <w:rPr>
          <w:rFonts w:ascii="Century Schoolbook" w:hAnsi="Century Schoolbook" w:cs="Calibri"/>
          <w:color w:val="000000" w:themeColor="text1"/>
          <w:sz w:val="24"/>
          <w:szCs w:val="24"/>
        </w:rPr>
        <w:t>December 2010.</w:t>
      </w:r>
      <w:r w:rsidR="00E8666C" w:rsidRPr="00E8666C">
        <w:rPr>
          <w:rStyle w:val="FootnoteReference"/>
          <w:rFonts w:ascii="Century Schoolbook" w:hAnsi="Century Schoolbook" w:cs="Arial"/>
          <w:color w:val="000000" w:themeColor="text1"/>
          <w:sz w:val="24"/>
          <w:szCs w:val="24"/>
        </w:rPr>
        <w:footnoteReference w:id="56"/>
      </w:r>
    </w:p>
    <w:p w:rsidR="00E63348" w:rsidRPr="009510E4" w:rsidRDefault="00B52898" w:rsidP="00A83491">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Calibri"/>
          <w:color w:val="000000" w:themeColor="text1"/>
          <w:sz w:val="24"/>
          <w:szCs w:val="24"/>
        </w:rPr>
        <w:t xml:space="preserve">Addressing the </w:t>
      </w:r>
      <w:r w:rsidRPr="006C6879">
        <w:rPr>
          <w:rFonts w:ascii="Century Schoolbook" w:hAnsi="Century Schoolbook" w:cs="Calibri"/>
          <w:color w:val="000000" w:themeColor="text1"/>
          <w:sz w:val="24"/>
          <w:szCs w:val="24"/>
        </w:rPr>
        <w:t>Justice Portfolio Committee</w:t>
      </w:r>
      <w:r>
        <w:rPr>
          <w:rFonts w:ascii="Century Schoolbook" w:hAnsi="Century Schoolbook" w:cs="Calibri"/>
          <w:color w:val="000000" w:themeColor="text1"/>
          <w:sz w:val="24"/>
          <w:szCs w:val="24"/>
        </w:rPr>
        <w:t xml:space="preserve"> o</w:t>
      </w:r>
      <w:r w:rsidR="0092664E" w:rsidRPr="006C6879">
        <w:rPr>
          <w:rFonts w:ascii="Century Schoolbook" w:hAnsi="Century Schoolbook" w:cs="Calibri"/>
          <w:color w:val="000000" w:themeColor="text1"/>
          <w:sz w:val="24"/>
          <w:szCs w:val="24"/>
        </w:rPr>
        <w:t>n 11 October 2010</w:t>
      </w:r>
      <w:r w:rsidR="00147BF4">
        <w:rPr>
          <w:rFonts w:ascii="Century Schoolbook" w:hAnsi="Century Schoolbook" w:cs="Calibri"/>
          <w:color w:val="000000" w:themeColor="text1"/>
          <w:sz w:val="24"/>
          <w:szCs w:val="24"/>
        </w:rPr>
        <w:t xml:space="preserve"> </w:t>
      </w:r>
      <w:r w:rsidR="009A71E3">
        <w:rPr>
          <w:rFonts w:ascii="Century Schoolbook" w:hAnsi="Century Schoolbook" w:cs="Calibri"/>
          <w:color w:val="000000" w:themeColor="text1"/>
          <w:sz w:val="24"/>
          <w:szCs w:val="24"/>
        </w:rPr>
        <w:t xml:space="preserve">and informing it that the OSD </w:t>
      </w:r>
      <w:r w:rsidR="006025DC">
        <w:rPr>
          <w:rFonts w:ascii="Century Schoolbook" w:hAnsi="Century Schoolbook" w:cs="Calibri"/>
          <w:color w:val="000000" w:themeColor="text1"/>
          <w:sz w:val="24"/>
          <w:szCs w:val="24"/>
        </w:rPr>
        <w:t xml:space="preserve">funding </w:t>
      </w:r>
      <w:r w:rsidR="009A71E3">
        <w:rPr>
          <w:rFonts w:ascii="Century Schoolbook" w:hAnsi="Century Schoolbook" w:cs="Calibri"/>
          <w:color w:val="000000" w:themeColor="text1"/>
          <w:sz w:val="24"/>
          <w:szCs w:val="24"/>
        </w:rPr>
        <w:t xml:space="preserve">issue had </w:t>
      </w:r>
      <w:r w:rsidR="00D71190">
        <w:rPr>
          <w:rFonts w:ascii="Century Schoolbook" w:hAnsi="Century Schoolbook" w:cs="Calibri"/>
          <w:color w:val="000000" w:themeColor="text1"/>
          <w:sz w:val="24"/>
          <w:szCs w:val="24"/>
        </w:rPr>
        <w:t xml:space="preserve">just </w:t>
      </w:r>
      <w:r w:rsidR="009A71E3">
        <w:rPr>
          <w:rFonts w:ascii="Century Schoolbook" w:hAnsi="Century Schoolbook" w:cs="Calibri"/>
          <w:color w:val="000000" w:themeColor="text1"/>
          <w:sz w:val="24"/>
          <w:szCs w:val="24"/>
        </w:rPr>
        <w:t>been resolved</w:t>
      </w:r>
      <w:r w:rsidR="00D71190">
        <w:rPr>
          <w:rFonts w:ascii="Century Schoolbook" w:hAnsi="Century Schoolbook" w:cs="Calibri"/>
          <w:color w:val="000000" w:themeColor="text1"/>
          <w:sz w:val="24"/>
          <w:szCs w:val="24"/>
        </w:rPr>
        <w:t xml:space="preserve"> </w:t>
      </w:r>
      <w:r w:rsidR="006025DC">
        <w:rPr>
          <w:rFonts w:ascii="Century Schoolbook" w:hAnsi="Century Schoolbook" w:cs="Calibri"/>
          <w:color w:val="000000" w:themeColor="text1"/>
          <w:sz w:val="24"/>
          <w:szCs w:val="24"/>
        </w:rPr>
        <w:t xml:space="preserve">with the Minister’s assistance </w:t>
      </w:r>
      <w:r w:rsidR="00D71190">
        <w:rPr>
          <w:rFonts w:ascii="Century Schoolbook" w:hAnsi="Century Schoolbook" w:cs="Calibri"/>
          <w:color w:val="000000" w:themeColor="text1"/>
          <w:sz w:val="24"/>
          <w:szCs w:val="24"/>
        </w:rPr>
        <w:t xml:space="preserve">by </w:t>
      </w:r>
      <w:r w:rsidR="00487AEA">
        <w:rPr>
          <w:rFonts w:ascii="Century Schoolbook" w:hAnsi="Century Schoolbook" w:cs="Calibri"/>
          <w:color w:val="000000" w:themeColor="text1"/>
          <w:sz w:val="24"/>
          <w:szCs w:val="24"/>
        </w:rPr>
        <w:t xml:space="preserve">including </w:t>
      </w:r>
      <w:r w:rsidR="00D71190">
        <w:rPr>
          <w:rFonts w:ascii="Century Schoolbook" w:hAnsi="Century Schoolbook" w:cs="Calibri"/>
          <w:color w:val="000000" w:themeColor="text1"/>
          <w:sz w:val="24"/>
          <w:szCs w:val="24"/>
        </w:rPr>
        <w:t xml:space="preserve">provision for </w:t>
      </w:r>
      <w:r w:rsidR="006025DC">
        <w:rPr>
          <w:rFonts w:ascii="Century Schoolbook" w:hAnsi="Century Schoolbook" w:cs="Calibri"/>
          <w:color w:val="000000" w:themeColor="text1"/>
          <w:sz w:val="24"/>
          <w:szCs w:val="24"/>
        </w:rPr>
        <w:t>it</w:t>
      </w:r>
      <w:r w:rsidR="00D71190">
        <w:rPr>
          <w:rFonts w:ascii="Century Schoolbook" w:hAnsi="Century Schoolbook" w:cs="Calibri"/>
          <w:color w:val="000000" w:themeColor="text1"/>
          <w:sz w:val="24"/>
          <w:szCs w:val="24"/>
        </w:rPr>
        <w:t xml:space="preserve"> in the</w:t>
      </w:r>
      <w:r w:rsidR="00D71190" w:rsidRPr="00D71190">
        <w:rPr>
          <w:rFonts w:ascii="Century Schoolbook" w:hAnsi="Century Schoolbook" w:cs="Calibri"/>
          <w:color w:val="000000" w:themeColor="text1"/>
          <w:sz w:val="24"/>
          <w:szCs w:val="24"/>
        </w:rPr>
        <w:t xml:space="preserve"> </w:t>
      </w:r>
      <w:r w:rsidR="00D71190" w:rsidRPr="006C6879">
        <w:rPr>
          <w:rFonts w:ascii="Century Schoolbook" w:hAnsi="Century Schoolbook" w:cs="Calibri"/>
          <w:color w:val="000000" w:themeColor="text1"/>
          <w:sz w:val="24"/>
          <w:szCs w:val="24"/>
        </w:rPr>
        <w:t>national mid-term budget</w:t>
      </w:r>
      <w:r w:rsidR="009A71E3">
        <w:rPr>
          <w:rFonts w:ascii="Century Schoolbook" w:hAnsi="Century Schoolbook" w:cs="Calibri"/>
          <w:color w:val="000000" w:themeColor="text1"/>
          <w:sz w:val="24"/>
          <w:szCs w:val="24"/>
        </w:rPr>
        <w:t xml:space="preserve">, </w:t>
      </w:r>
      <w:r w:rsidR="00A83491" w:rsidRPr="006C6879">
        <w:rPr>
          <w:rFonts w:ascii="Century Schoolbook" w:hAnsi="Century Schoolbook" w:cs="Calibri"/>
          <w:color w:val="000000" w:themeColor="text1"/>
          <w:sz w:val="24"/>
          <w:szCs w:val="24"/>
        </w:rPr>
        <w:t>CEO Vedalankar re</w:t>
      </w:r>
      <w:r w:rsidR="00A23305">
        <w:rPr>
          <w:rFonts w:ascii="Century Schoolbook" w:hAnsi="Century Schoolbook" w:cs="Calibri"/>
          <w:color w:val="000000" w:themeColor="text1"/>
          <w:sz w:val="24"/>
          <w:szCs w:val="24"/>
        </w:rPr>
        <w:t>port</w:t>
      </w:r>
      <w:r w:rsidR="00A83491" w:rsidRPr="006C6879">
        <w:rPr>
          <w:rFonts w:ascii="Century Schoolbook" w:hAnsi="Century Schoolbook" w:cs="Calibri"/>
          <w:color w:val="000000" w:themeColor="text1"/>
          <w:sz w:val="24"/>
          <w:szCs w:val="24"/>
        </w:rPr>
        <w:t>ed the Minister’s wishes</w:t>
      </w:r>
      <w:r w:rsidR="007764C7">
        <w:rPr>
          <w:rFonts w:ascii="Century Schoolbook" w:hAnsi="Century Schoolbook" w:cs="Calibri"/>
          <w:color w:val="000000" w:themeColor="text1"/>
          <w:sz w:val="24"/>
          <w:szCs w:val="24"/>
        </w:rPr>
        <w:t>,</w:t>
      </w:r>
      <w:r w:rsidR="00EA0968">
        <w:rPr>
          <w:rFonts w:ascii="Century Schoolbook" w:hAnsi="Century Schoolbook" w:cs="Calibri"/>
          <w:color w:val="000000" w:themeColor="text1"/>
          <w:sz w:val="24"/>
          <w:szCs w:val="24"/>
        </w:rPr>
        <w:t xml:space="preserve"> </w:t>
      </w:r>
      <w:r w:rsidR="007764C7">
        <w:rPr>
          <w:rFonts w:ascii="Century Schoolbook" w:hAnsi="Century Schoolbook" w:cs="Calibri"/>
          <w:color w:val="000000" w:themeColor="text1"/>
          <w:sz w:val="24"/>
          <w:szCs w:val="24"/>
        </w:rPr>
        <w:t xml:space="preserve">originally stated to Mlambo JP, </w:t>
      </w:r>
      <w:r w:rsidR="00EA0968">
        <w:rPr>
          <w:rFonts w:ascii="Century Schoolbook" w:hAnsi="Century Schoolbook" w:cs="Calibri"/>
          <w:color w:val="000000" w:themeColor="text1"/>
          <w:sz w:val="24"/>
          <w:szCs w:val="24"/>
        </w:rPr>
        <w:t>that he</w:t>
      </w:r>
      <w:r w:rsidR="00A83491" w:rsidRPr="006C6879">
        <w:rPr>
          <w:rFonts w:ascii="Century Schoolbook" w:hAnsi="Century Schoolbook" w:cs="Calibri"/>
          <w:color w:val="000000" w:themeColor="text1"/>
          <w:sz w:val="24"/>
          <w:szCs w:val="24"/>
        </w:rPr>
        <w:t xml:space="preserve"> ‘didn’t want’</w:t>
      </w:r>
      <w:r w:rsidR="00E247C1">
        <w:rPr>
          <w:rFonts w:ascii="Century Schoolbook" w:hAnsi="Century Schoolbook" w:cs="Calibri"/>
          <w:color w:val="000000" w:themeColor="text1"/>
          <w:sz w:val="24"/>
          <w:szCs w:val="24"/>
        </w:rPr>
        <w:t xml:space="preserve"> </w:t>
      </w:r>
      <w:r w:rsidR="00EA0968">
        <w:rPr>
          <w:rFonts w:ascii="Century Schoolbook" w:hAnsi="Century Schoolbook" w:cs="Calibri"/>
          <w:color w:val="000000" w:themeColor="text1"/>
          <w:sz w:val="24"/>
          <w:szCs w:val="24"/>
        </w:rPr>
        <w:t xml:space="preserve">LASA </w:t>
      </w:r>
      <w:r w:rsidR="00E247C1">
        <w:rPr>
          <w:rFonts w:ascii="Century Schoolbook" w:hAnsi="Century Schoolbook" w:cs="Calibri"/>
          <w:color w:val="000000" w:themeColor="text1"/>
          <w:sz w:val="24"/>
          <w:szCs w:val="24"/>
        </w:rPr>
        <w:t>to ‘freeze ... posts’</w:t>
      </w:r>
      <w:r w:rsidR="001A47BE">
        <w:rPr>
          <w:rFonts w:ascii="Century Schoolbook" w:hAnsi="Century Schoolbook" w:cs="Calibri"/>
          <w:color w:val="000000" w:themeColor="text1"/>
          <w:sz w:val="24"/>
          <w:szCs w:val="24"/>
        </w:rPr>
        <w:t xml:space="preserve"> and that </w:t>
      </w:r>
      <w:r w:rsidR="007764C7">
        <w:rPr>
          <w:rFonts w:ascii="Century Schoolbook" w:hAnsi="Century Schoolbook" w:cs="Calibri"/>
          <w:color w:val="000000" w:themeColor="text1"/>
          <w:sz w:val="24"/>
          <w:szCs w:val="24"/>
        </w:rPr>
        <w:t xml:space="preserve">he’d </w:t>
      </w:r>
      <w:r w:rsidR="001A47BE">
        <w:rPr>
          <w:rFonts w:ascii="Century Schoolbook" w:hAnsi="Century Schoolbook" w:cs="Calibri"/>
          <w:color w:val="000000" w:themeColor="text1"/>
          <w:sz w:val="24"/>
          <w:szCs w:val="24"/>
        </w:rPr>
        <w:t>‘s</w:t>
      </w:r>
      <w:r w:rsidR="00E247C1">
        <w:rPr>
          <w:rFonts w:ascii="Century Schoolbook" w:hAnsi="Century Schoolbook" w:cs="Calibri"/>
          <w:color w:val="000000" w:themeColor="text1"/>
          <w:sz w:val="24"/>
          <w:szCs w:val="24"/>
        </w:rPr>
        <w:t>aid that we needed to continue with the business’</w:t>
      </w:r>
      <w:r w:rsidR="00E247C1" w:rsidRPr="006C6879">
        <w:rPr>
          <w:rStyle w:val="FootnoteReference"/>
          <w:rFonts w:ascii="Century Schoolbook" w:hAnsi="Century Schoolbook" w:cs="Calibri"/>
          <w:color w:val="000000" w:themeColor="text1"/>
          <w:sz w:val="24"/>
          <w:szCs w:val="24"/>
        </w:rPr>
        <w:footnoteReference w:id="57"/>
      </w:r>
      <w:r w:rsidR="009543BA">
        <w:rPr>
          <w:rFonts w:ascii="Century Schoolbook" w:hAnsi="Century Schoolbook" w:cs="Calibri"/>
          <w:color w:val="000000" w:themeColor="text1"/>
          <w:sz w:val="24"/>
          <w:szCs w:val="24"/>
        </w:rPr>
        <w:t xml:space="preserve"> of providing legal services to the country’s indigent</w:t>
      </w:r>
      <w:r w:rsidR="006025DC">
        <w:rPr>
          <w:rFonts w:ascii="Century Schoolbook" w:hAnsi="Century Schoolbook" w:cs="Calibri"/>
          <w:color w:val="000000" w:themeColor="text1"/>
          <w:sz w:val="24"/>
          <w:szCs w:val="24"/>
        </w:rPr>
        <w:t xml:space="preserve"> in accordance with LASA’s </w:t>
      </w:r>
      <w:r w:rsidR="000D4696">
        <w:rPr>
          <w:rFonts w:ascii="Century Schoolbook" w:hAnsi="Century Schoolbook" w:cs="Calibri"/>
          <w:color w:val="000000" w:themeColor="text1"/>
          <w:sz w:val="24"/>
          <w:szCs w:val="24"/>
        </w:rPr>
        <w:t>S</w:t>
      </w:r>
      <w:r w:rsidR="006025DC">
        <w:rPr>
          <w:rFonts w:ascii="Century Schoolbook" w:hAnsi="Century Schoolbook" w:cs="Calibri"/>
          <w:color w:val="000000" w:themeColor="text1"/>
          <w:sz w:val="24"/>
          <w:szCs w:val="24"/>
        </w:rPr>
        <w:t xml:space="preserve">trategic </w:t>
      </w:r>
      <w:r w:rsidR="000D4696">
        <w:rPr>
          <w:rFonts w:ascii="Century Schoolbook" w:hAnsi="Century Schoolbook" w:cs="Calibri"/>
          <w:color w:val="000000" w:themeColor="text1"/>
          <w:sz w:val="24"/>
          <w:szCs w:val="24"/>
        </w:rPr>
        <w:t>P</w:t>
      </w:r>
      <w:r w:rsidR="006025DC">
        <w:rPr>
          <w:rFonts w:ascii="Century Schoolbook" w:hAnsi="Century Schoolbook" w:cs="Calibri"/>
          <w:color w:val="000000" w:themeColor="text1"/>
          <w:sz w:val="24"/>
          <w:szCs w:val="24"/>
        </w:rPr>
        <w:t>lan</w:t>
      </w:r>
      <w:r w:rsidR="000D4696">
        <w:rPr>
          <w:rFonts w:ascii="Century Schoolbook" w:hAnsi="Century Schoolbook" w:cs="Calibri"/>
          <w:color w:val="000000" w:themeColor="text1"/>
          <w:sz w:val="24"/>
          <w:szCs w:val="24"/>
        </w:rPr>
        <w:t xml:space="preserve">2009–12 </w:t>
      </w:r>
      <w:r w:rsidR="006025DC">
        <w:rPr>
          <w:rFonts w:ascii="Century Schoolbook" w:hAnsi="Century Schoolbook" w:cs="Calibri"/>
          <w:color w:val="000000" w:themeColor="text1"/>
          <w:sz w:val="24"/>
          <w:szCs w:val="24"/>
        </w:rPr>
        <w:t xml:space="preserve">by </w:t>
      </w:r>
      <w:r w:rsidR="009543BA">
        <w:rPr>
          <w:rFonts w:ascii="Century Schoolbook" w:hAnsi="Century Schoolbook" w:cs="Calibri"/>
          <w:color w:val="000000" w:themeColor="text1"/>
          <w:sz w:val="24"/>
          <w:szCs w:val="24"/>
        </w:rPr>
        <w:t>fill</w:t>
      </w:r>
      <w:r w:rsidR="006025DC">
        <w:rPr>
          <w:rFonts w:ascii="Century Schoolbook" w:hAnsi="Century Schoolbook" w:cs="Calibri"/>
          <w:color w:val="000000" w:themeColor="text1"/>
          <w:sz w:val="24"/>
          <w:szCs w:val="24"/>
        </w:rPr>
        <w:t>ing</w:t>
      </w:r>
      <w:r w:rsidR="009543BA">
        <w:rPr>
          <w:rFonts w:ascii="Century Schoolbook" w:hAnsi="Century Schoolbook" w:cs="Calibri"/>
          <w:color w:val="000000" w:themeColor="text1"/>
          <w:sz w:val="24"/>
          <w:szCs w:val="24"/>
        </w:rPr>
        <w:t xml:space="preserve"> LASA’s budgeted and funded vacant legal posts.</w:t>
      </w:r>
    </w:p>
    <w:p w:rsidR="00E77B92" w:rsidRPr="005A203D" w:rsidRDefault="00E77B92" w:rsidP="00F9372D">
      <w:pPr>
        <w:pStyle w:val="ListParagraph"/>
        <w:tabs>
          <w:tab w:val="left" w:pos="284"/>
          <w:tab w:val="left" w:pos="426"/>
          <w:tab w:val="left" w:pos="459"/>
          <w:tab w:val="left" w:pos="567"/>
        </w:tabs>
        <w:spacing w:line="360" w:lineRule="auto"/>
        <w:ind w:left="0"/>
        <w:contextualSpacing w:val="0"/>
        <w:rPr>
          <w:rFonts w:ascii="Century Schoolbook" w:hAnsi="Century Schoolbook" w:cs="Times New Roman"/>
          <w:b/>
          <w:sz w:val="24"/>
          <w:szCs w:val="24"/>
        </w:rPr>
      </w:pPr>
      <w:r w:rsidRPr="005A203D">
        <w:rPr>
          <w:rFonts w:ascii="Century Schoolbook" w:hAnsi="Century Schoolbook" w:cs="Times New Roman"/>
          <w:b/>
          <w:sz w:val="24"/>
          <w:szCs w:val="24"/>
        </w:rPr>
        <w:t>THE EMPLOYMENT OF SENIOR LITIGATORS AS A KEY COMPONENT OF LASA’S STRATEGIC PLAN 2009–12</w:t>
      </w:r>
    </w:p>
    <w:p w:rsidR="00E77B92" w:rsidRPr="006C6879" w:rsidRDefault="009543BA"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As LASA explains</w:t>
      </w:r>
      <w:r w:rsidR="007C4757">
        <w:rPr>
          <w:rFonts w:ascii="Century Schoolbook" w:hAnsi="Century Schoolbook" w:cs="Times New Roman"/>
          <w:sz w:val="24"/>
          <w:szCs w:val="24"/>
        </w:rPr>
        <w:t xml:space="preserve"> in various documents</w:t>
      </w:r>
      <w:r>
        <w:rPr>
          <w:rFonts w:ascii="Century Schoolbook" w:hAnsi="Century Schoolbook" w:cs="Times New Roman"/>
          <w:sz w:val="24"/>
          <w:szCs w:val="24"/>
        </w:rPr>
        <w:t>, t</w:t>
      </w:r>
      <w:r w:rsidR="00E77B92" w:rsidRPr="006C6879">
        <w:rPr>
          <w:rFonts w:ascii="Century Schoolbook" w:hAnsi="Century Schoolbook" w:cs="Times New Roman"/>
          <w:sz w:val="24"/>
          <w:szCs w:val="24"/>
        </w:rPr>
        <w:t>he Board ‘is responsible for providing strategic direction … and delegating the detailed planning and implementation of policy to the Management Executive Committee.’</w:t>
      </w:r>
      <w:r w:rsidR="00E77B92" w:rsidRPr="006C6879">
        <w:rPr>
          <w:rStyle w:val="FootnoteReference"/>
          <w:rFonts w:ascii="Century Schoolbook" w:hAnsi="Century Schoolbook" w:cs="Times New Roman"/>
          <w:sz w:val="24"/>
          <w:szCs w:val="24"/>
        </w:rPr>
        <w:footnoteReference w:id="58"/>
      </w:r>
      <w:r w:rsidR="00E77B92" w:rsidRPr="006C6879">
        <w:rPr>
          <w:rFonts w:ascii="Century Schoolbook" w:hAnsi="Century Schoolbook" w:cs="Times New Roman"/>
          <w:sz w:val="24"/>
          <w:szCs w:val="24"/>
        </w:rPr>
        <w:t xml:space="preserve"> This ‘strategic direction’ and ‘policy’ is set out in the Board’s Strategic Plan for LASA’s future operations; and LASA’s annual Business Plan (‘also referred to as …</w:t>
      </w:r>
      <w:r w:rsidR="009A71E3">
        <w:rPr>
          <w:rFonts w:ascii="Century Schoolbook" w:hAnsi="Century Schoolbook" w:cs="Times New Roman"/>
          <w:sz w:val="24"/>
          <w:szCs w:val="24"/>
        </w:rPr>
        <w:t xml:space="preserve">the </w:t>
      </w:r>
      <w:r w:rsidR="00E77B92" w:rsidRPr="006C6879">
        <w:rPr>
          <w:rFonts w:ascii="Century Schoolbook" w:hAnsi="Century Schoolbook" w:cs="Times New Roman"/>
          <w:sz w:val="24"/>
          <w:szCs w:val="24"/>
        </w:rPr>
        <w:t>Annual Performance Plan’)</w:t>
      </w:r>
      <w:r>
        <w:rPr>
          <w:rFonts w:ascii="Century Schoolbook" w:hAnsi="Century Schoolbook" w:cs="Times New Roman"/>
          <w:sz w:val="24"/>
          <w:szCs w:val="24"/>
        </w:rPr>
        <w:t>,</w:t>
      </w:r>
      <w:r w:rsidR="00E77B92" w:rsidRPr="006C6879">
        <w:rPr>
          <w:rFonts w:ascii="Century Schoolbook" w:hAnsi="Century Schoolbook" w:cs="Times New Roman"/>
          <w:sz w:val="24"/>
          <w:szCs w:val="24"/>
          <w:vertAlign w:val="superscript"/>
        </w:rPr>
        <w:footnoteReference w:id="59"/>
      </w:r>
      <w:r w:rsidR="00E77B92" w:rsidRPr="006C6879">
        <w:rPr>
          <w:rFonts w:ascii="Century Schoolbook" w:hAnsi="Century Schoolbook" w:cs="Times New Roman"/>
          <w:sz w:val="24"/>
          <w:szCs w:val="24"/>
        </w:rPr>
        <w:t xml:space="preserve"> based on </w:t>
      </w:r>
      <w:r w:rsidR="009A71E3">
        <w:rPr>
          <w:rFonts w:ascii="Century Schoolbook" w:hAnsi="Century Schoolbook" w:cs="Times New Roman"/>
          <w:sz w:val="24"/>
          <w:szCs w:val="24"/>
        </w:rPr>
        <w:t>the Strategic Plan</w:t>
      </w:r>
      <w:r>
        <w:rPr>
          <w:rFonts w:ascii="Century Schoolbook" w:hAnsi="Century Schoolbook" w:cs="Times New Roman"/>
          <w:sz w:val="24"/>
          <w:szCs w:val="24"/>
        </w:rPr>
        <w:t>,</w:t>
      </w:r>
      <w:r w:rsidR="00E77B92" w:rsidRPr="006C6879">
        <w:rPr>
          <w:rFonts w:ascii="Century Schoolbook" w:hAnsi="Century Schoolbook" w:cs="Times New Roman"/>
          <w:sz w:val="24"/>
          <w:szCs w:val="24"/>
          <w:vertAlign w:val="superscript"/>
        </w:rPr>
        <w:footnoteReference w:id="60"/>
      </w:r>
      <w:r w:rsidR="00E77B92" w:rsidRPr="006C6879">
        <w:rPr>
          <w:rFonts w:ascii="Century Schoolbook" w:hAnsi="Century Schoolbook" w:cs="Times New Roman"/>
          <w:sz w:val="24"/>
          <w:szCs w:val="24"/>
        </w:rPr>
        <w:t xml:space="preserve"> sets out the ‘detailed planning and implementation of policy [by] the Management Executive Committee.’</w:t>
      </w:r>
      <w:r w:rsidR="00564CE4">
        <w:rPr>
          <w:rStyle w:val="FootnoteReference"/>
          <w:rFonts w:ascii="Century Schoolbook" w:hAnsi="Century Schoolbook" w:cs="Times New Roman"/>
          <w:sz w:val="24"/>
          <w:szCs w:val="24"/>
        </w:rPr>
        <w:footnoteReference w:id="61"/>
      </w:r>
      <w:r w:rsidR="00E77B92" w:rsidRPr="006C6879">
        <w:rPr>
          <w:rFonts w:ascii="Century Schoolbook" w:hAnsi="Century Schoolbook" w:cs="Times New Roman"/>
          <w:sz w:val="24"/>
          <w:szCs w:val="24"/>
        </w:rPr>
        <w:t xml:space="preserve"> </w:t>
      </w:r>
    </w:p>
    <w:p w:rsidR="00E77B92" w:rsidRPr="006C6879" w:rsidRDefault="009A71E3"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T</w:t>
      </w:r>
      <w:r w:rsidRPr="006C6879">
        <w:rPr>
          <w:rFonts w:ascii="Century Schoolbook" w:hAnsi="Century Schoolbook" w:cs="Times New Roman"/>
          <w:sz w:val="24"/>
          <w:szCs w:val="24"/>
        </w:rPr>
        <w:t xml:space="preserve">he National Treasury </w:t>
      </w:r>
      <w:r w:rsidR="00F14881">
        <w:rPr>
          <w:rFonts w:ascii="Century Schoolbook" w:hAnsi="Century Schoolbook" w:cs="Times New Roman"/>
          <w:sz w:val="24"/>
          <w:szCs w:val="24"/>
        </w:rPr>
        <w:t>states</w:t>
      </w:r>
      <w:r w:rsidRPr="006C6879">
        <w:rPr>
          <w:rFonts w:ascii="Century Schoolbook" w:hAnsi="Century Schoolbook" w:cs="Times New Roman"/>
          <w:sz w:val="24"/>
          <w:szCs w:val="24"/>
        </w:rPr>
        <w:t xml:space="preserve"> </w:t>
      </w:r>
      <w:r>
        <w:rPr>
          <w:rFonts w:ascii="Century Schoolbook" w:hAnsi="Century Schoolbook" w:cs="Times New Roman"/>
          <w:sz w:val="24"/>
          <w:szCs w:val="24"/>
        </w:rPr>
        <w:t>in its</w:t>
      </w:r>
      <w:r w:rsidR="00E77B92" w:rsidRPr="006C6879">
        <w:rPr>
          <w:rFonts w:ascii="Century Schoolbook" w:hAnsi="Century Schoolbook" w:cs="Times New Roman"/>
          <w:sz w:val="24"/>
          <w:szCs w:val="24"/>
        </w:rPr>
        <w:t xml:space="preserve"> ‘Framework for Strategic Plans and Annual Performance Plans’: </w:t>
      </w:r>
    </w:p>
    <w:p w:rsidR="00E77B92" w:rsidRPr="006C6879" w:rsidRDefault="00E77B92" w:rsidP="00E77B92">
      <w:pPr>
        <w:tabs>
          <w:tab w:val="left" w:pos="284"/>
          <w:tab w:val="left" w:pos="709"/>
        </w:tabs>
        <w:spacing w:line="360" w:lineRule="auto"/>
        <w:ind w:left="709"/>
        <w:rPr>
          <w:rFonts w:ascii="Century Schoolbook" w:hAnsi="Century Schoolbook" w:cs="Times New Roman"/>
          <w:sz w:val="24"/>
          <w:szCs w:val="24"/>
        </w:rPr>
      </w:pPr>
      <w:r w:rsidRPr="006C6879">
        <w:rPr>
          <w:rFonts w:ascii="Century Schoolbook" w:hAnsi="Century Schoolbook" w:cs="Times New Roman"/>
          <w:sz w:val="24"/>
          <w:szCs w:val="24"/>
        </w:rPr>
        <w:lastRenderedPageBreak/>
        <w:t>Strategic Plans identify strategically important outcomes</w:t>
      </w:r>
      <w:r w:rsidR="00BE2266" w:rsidRPr="006C6879">
        <w:rPr>
          <w:rFonts w:ascii="Century Schoolbook" w:hAnsi="Century Schoolbook" w:cs="Times New Roman"/>
          <w:sz w:val="24"/>
          <w:szCs w:val="24"/>
        </w:rPr>
        <w:t>-</w:t>
      </w:r>
      <w:r w:rsidRPr="006C6879">
        <w:rPr>
          <w:rFonts w:ascii="Century Schoolbook" w:hAnsi="Century Schoolbook" w:cs="Times New Roman"/>
          <w:sz w:val="24"/>
          <w:szCs w:val="24"/>
        </w:rPr>
        <w:t>orientated goals and objectives against which public institutions’ medium-term results can be measured and evaluated by Parliament ... and the public.</w:t>
      </w:r>
      <w:r w:rsidRPr="006C6879">
        <w:rPr>
          <w:rStyle w:val="FootnoteReference"/>
          <w:rFonts w:ascii="Century Schoolbook" w:hAnsi="Century Schoolbook" w:cs="Times New Roman"/>
          <w:sz w:val="24"/>
          <w:szCs w:val="24"/>
        </w:rPr>
        <w:footnoteReference w:id="62"/>
      </w:r>
    </w:p>
    <w:p w:rsidR="00E77B92" w:rsidRDefault="00BE73B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LASA</w:t>
      </w:r>
      <w:r w:rsidR="009A71E3">
        <w:rPr>
          <w:rFonts w:ascii="Century Schoolbook" w:hAnsi="Century Schoolbook" w:cs="Times New Roman"/>
          <w:sz w:val="24"/>
          <w:szCs w:val="24"/>
        </w:rPr>
        <w:t xml:space="preserve"> states consistently:</w:t>
      </w:r>
      <w:r w:rsidR="00E77B92" w:rsidRPr="006C6879">
        <w:rPr>
          <w:rFonts w:ascii="Century Schoolbook" w:hAnsi="Century Schoolbook" w:cs="Times New Roman"/>
          <w:sz w:val="24"/>
          <w:szCs w:val="24"/>
        </w:rPr>
        <w:t xml:space="preserve"> </w:t>
      </w:r>
      <w:r w:rsidR="00487AEA">
        <w:rPr>
          <w:rFonts w:ascii="Century Schoolbook" w:hAnsi="Century Schoolbook" w:cs="Times New Roman"/>
          <w:sz w:val="24"/>
          <w:szCs w:val="24"/>
        </w:rPr>
        <w:t>T</w:t>
      </w:r>
      <w:r w:rsidR="009A71E3">
        <w:rPr>
          <w:rFonts w:ascii="Century Schoolbook" w:hAnsi="Century Schoolbook" w:cs="Times New Roman"/>
          <w:sz w:val="24"/>
          <w:szCs w:val="24"/>
        </w:rPr>
        <w:t xml:space="preserve">he </w:t>
      </w:r>
      <w:r w:rsidR="00E77B92" w:rsidRPr="006C6879">
        <w:rPr>
          <w:rFonts w:ascii="Century Schoolbook" w:hAnsi="Century Schoolbook" w:cs="Times New Roman"/>
          <w:sz w:val="24"/>
          <w:szCs w:val="24"/>
        </w:rPr>
        <w:t>‘Strategic Plan sets a clear Vision and Mission as well as Outcomes and Strategies that the organisation aims to achieve.’ It</w:t>
      </w:r>
      <w:r w:rsidR="00DB4AF9">
        <w:rPr>
          <w:rFonts w:ascii="Century Schoolbook" w:hAnsi="Century Schoolbook" w:cs="Times New Roman"/>
          <w:sz w:val="24"/>
          <w:szCs w:val="24"/>
        </w:rPr>
        <w:t xml:space="preserve">’s </w:t>
      </w:r>
      <w:r w:rsidR="00E77B92" w:rsidRPr="006C6879">
        <w:rPr>
          <w:rFonts w:ascii="Century Schoolbook" w:hAnsi="Century Schoolbook" w:cs="Times New Roman"/>
          <w:sz w:val="24"/>
          <w:szCs w:val="24"/>
        </w:rPr>
        <w:t>‘key to Legal Aid South Africa’s operations’ and ‘complies with National Treasury Regulations’, requir</w:t>
      </w:r>
      <w:r w:rsidR="003652BB">
        <w:rPr>
          <w:rFonts w:ascii="Century Schoolbook" w:hAnsi="Century Schoolbook" w:cs="Times New Roman"/>
          <w:sz w:val="24"/>
          <w:szCs w:val="24"/>
        </w:rPr>
        <w:t>ing</w:t>
      </w:r>
      <w:r w:rsidR="00E77B92" w:rsidRPr="006C6879">
        <w:rPr>
          <w:rFonts w:ascii="Century Schoolbook" w:hAnsi="Century Schoolbook" w:cs="Times New Roman"/>
          <w:sz w:val="24"/>
          <w:szCs w:val="24"/>
        </w:rPr>
        <w:t xml:space="preserve"> it to ‘outline how it will use its resources optimally to achieve its vision and outcomes.’</w:t>
      </w:r>
      <w:r w:rsidR="00BB5BF8" w:rsidRPr="006C6879">
        <w:rPr>
          <w:rStyle w:val="FootnoteReference"/>
          <w:rFonts w:ascii="Century Schoolbook" w:hAnsi="Century Schoolbook" w:cs="Times New Roman"/>
          <w:sz w:val="24"/>
          <w:szCs w:val="24"/>
        </w:rPr>
        <w:footnoteReference w:id="63"/>
      </w:r>
    </w:p>
    <w:p w:rsidR="007764C7" w:rsidRPr="006C6879" w:rsidRDefault="003C78C5" w:rsidP="007764C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S</w:t>
      </w:r>
      <w:r w:rsidR="00AD743F" w:rsidRPr="00AD743F">
        <w:rPr>
          <w:rFonts w:ascii="Century Schoolbook" w:hAnsi="Century Schoolbook" w:cs="Times New Roman"/>
          <w:sz w:val="24"/>
          <w:szCs w:val="24"/>
        </w:rPr>
        <w:t>ection 3.2.1.a</w:t>
      </w:r>
      <w:r w:rsidR="00AD743F">
        <w:rPr>
          <w:rFonts w:ascii="Century Schoolbook" w:hAnsi="Century Schoolbook" w:cs="Times New Roman"/>
          <w:sz w:val="24"/>
          <w:szCs w:val="24"/>
        </w:rPr>
        <w:t xml:space="preserve"> of the </w:t>
      </w:r>
      <w:r w:rsidR="009543BA">
        <w:rPr>
          <w:rFonts w:ascii="Century Schoolbook" w:hAnsi="Century Schoolbook" w:cs="Times New Roman"/>
          <w:sz w:val="24"/>
          <w:szCs w:val="24"/>
        </w:rPr>
        <w:t xml:space="preserve">Charter of </w:t>
      </w:r>
      <w:r w:rsidR="00DB4AF9">
        <w:rPr>
          <w:rFonts w:ascii="Century Schoolbook" w:hAnsi="Century Schoolbook" w:cs="Times New Roman"/>
          <w:sz w:val="24"/>
          <w:szCs w:val="24"/>
        </w:rPr>
        <w:t>LASA’s</w:t>
      </w:r>
      <w:r w:rsidR="009543BA">
        <w:rPr>
          <w:rFonts w:ascii="Century Schoolbook" w:hAnsi="Century Schoolbook" w:cs="Times New Roman"/>
          <w:sz w:val="24"/>
          <w:szCs w:val="24"/>
        </w:rPr>
        <w:t xml:space="preserve"> </w:t>
      </w:r>
      <w:r w:rsidR="00AD743F">
        <w:rPr>
          <w:rFonts w:ascii="Century Schoolbook" w:hAnsi="Century Schoolbook" w:cs="Times New Roman"/>
          <w:sz w:val="24"/>
          <w:szCs w:val="24"/>
        </w:rPr>
        <w:t>Board Executive Committee</w:t>
      </w:r>
      <w:r>
        <w:rPr>
          <w:rFonts w:ascii="Century Schoolbook" w:hAnsi="Century Schoolbook" w:cs="Times New Roman"/>
          <w:sz w:val="24"/>
          <w:szCs w:val="24"/>
        </w:rPr>
        <w:t xml:space="preserve"> stipulates that</w:t>
      </w:r>
      <w:r w:rsidR="00AD743F">
        <w:rPr>
          <w:rFonts w:ascii="Century Schoolbook" w:hAnsi="Century Schoolbook" w:cs="Times New Roman"/>
          <w:sz w:val="24"/>
          <w:szCs w:val="24"/>
        </w:rPr>
        <w:t xml:space="preserve"> </w:t>
      </w:r>
      <w:r w:rsidR="00487AEA">
        <w:rPr>
          <w:rFonts w:ascii="Century Schoolbook" w:hAnsi="Century Schoolbook" w:cs="Times New Roman"/>
          <w:sz w:val="24"/>
          <w:szCs w:val="24"/>
        </w:rPr>
        <w:t>‘</w:t>
      </w:r>
      <w:r w:rsidR="00AD743F">
        <w:rPr>
          <w:rFonts w:ascii="Century Schoolbook" w:hAnsi="Century Schoolbook" w:cs="Times New Roman"/>
          <w:sz w:val="24"/>
          <w:szCs w:val="24"/>
        </w:rPr>
        <w:t>a</w:t>
      </w:r>
      <w:r w:rsidR="00487AEA">
        <w:rPr>
          <w:rFonts w:ascii="Century Schoolbook" w:hAnsi="Century Schoolbook" w:cs="Times New Roman"/>
          <w:sz w:val="24"/>
          <w:szCs w:val="24"/>
        </w:rPr>
        <w:t xml:space="preserve">pproval of the strategy, business plans and annual budgets and any subsequent changes in strategic direction or material deviations in business plans’ at LASA are </w:t>
      </w:r>
      <w:r w:rsidR="007764C7">
        <w:rPr>
          <w:rFonts w:ascii="Century Schoolbook" w:hAnsi="Century Schoolbook" w:cs="Times New Roman"/>
          <w:sz w:val="24"/>
          <w:szCs w:val="24"/>
        </w:rPr>
        <w:t>‘reserved for Board decision’</w:t>
      </w:r>
      <w:r w:rsidR="00487AEA">
        <w:rPr>
          <w:rFonts w:ascii="Century Schoolbook" w:hAnsi="Century Schoolbook" w:cs="Times New Roman"/>
          <w:sz w:val="24"/>
          <w:szCs w:val="24"/>
        </w:rPr>
        <w:t>.</w:t>
      </w:r>
      <w:r w:rsidR="007764C7">
        <w:rPr>
          <w:rStyle w:val="FootnoteReference"/>
          <w:rFonts w:ascii="Century Schoolbook" w:hAnsi="Century Schoolbook" w:cs="Times New Roman"/>
          <w:sz w:val="24"/>
          <w:szCs w:val="24"/>
        </w:rPr>
        <w:footnoteReference w:id="64"/>
      </w:r>
    </w:p>
    <w:p w:rsidR="00E77B92" w:rsidRDefault="009543BA"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C</w:t>
      </w:r>
      <w:r w:rsidRPr="006C6879">
        <w:rPr>
          <w:rFonts w:ascii="Century Schoolbook" w:hAnsi="Century Schoolbook" w:cs="Times New Roman"/>
          <w:sz w:val="24"/>
          <w:szCs w:val="24"/>
        </w:rPr>
        <w:t xml:space="preserve">haired by </w:t>
      </w:r>
      <w:r>
        <w:rPr>
          <w:rFonts w:ascii="Century Schoolbook" w:hAnsi="Century Schoolbook" w:cs="Times New Roman"/>
          <w:sz w:val="24"/>
          <w:szCs w:val="24"/>
        </w:rPr>
        <w:t xml:space="preserve">NOE </w:t>
      </w:r>
      <w:r w:rsidRPr="006C6879">
        <w:rPr>
          <w:rFonts w:ascii="Century Schoolbook" w:hAnsi="Century Schoolbook" w:cs="Times New Roman"/>
          <w:sz w:val="24"/>
          <w:szCs w:val="24"/>
        </w:rPr>
        <w:t>Nair,</w:t>
      </w:r>
      <w:r w:rsidRPr="006C6879">
        <w:rPr>
          <w:rStyle w:val="FootnoteReference"/>
          <w:rFonts w:ascii="Century Schoolbook" w:hAnsi="Century Schoolbook" w:cs="Times New Roman"/>
          <w:sz w:val="24"/>
          <w:szCs w:val="24"/>
        </w:rPr>
        <w:footnoteReference w:id="65"/>
      </w:r>
      <w:r w:rsidRPr="006C6879">
        <w:rPr>
          <w:rFonts w:ascii="Century Schoolbook" w:hAnsi="Century Schoolbook" w:cs="Times New Roman"/>
          <w:sz w:val="24"/>
          <w:szCs w:val="24"/>
        </w:rPr>
        <w:t xml:space="preserve"> </w:t>
      </w:r>
      <w:r w:rsidR="00E77B92" w:rsidRPr="006C6879">
        <w:rPr>
          <w:rFonts w:ascii="Century Schoolbook" w:hAnsi="Century Schoolbook" w:cs="Times New Roman"/>
          <w:sz w:val="24"/>
          <w:szCs w:val="24"/>
        </w:rPr>
        <w:t>LASA</w:t>
      </w:r>
      <w:r w:rsidR="00363891" w:rsidRPr="006C6879">
        <w:rPr>
          <w:rFonts w:ascii="Century Schoolbook" w:hAnsi="Century Schoolbook" w:cs="Times New Roman"/>
          <w:sz w:val="24"/>
          <w:szCs w:val="24"/>
        </w:rPr>
        <w:t>’s</w:t>
      </w:r>
      <w:r w:rsidR="00E77B92" w:rsidRPr="006C6879">
        <w:rPr>
          <w:rFonts w:ascii="Century Schoolbook" w:hAnsi="Century Schoolbook" w:cs="Times New Roman"/>
          <w:sz w:val="24"/>
          <w:szCs w:val="24"/>
        </w:rPr>
        <w:t xml:space="preserve"> </w:t>
      </w:r>
      <w:r w:rsidR="00252323" w:rsidRPr="006C6879">
        <w:rPr>
          <w:rFonts w:ascii="Century Schoolbook" w:hAnsi="Century Schoolbook" w:cs="Times New Roman"/>
          <w:sz w:val="24"/>
          <w:szCs w:val="24"/>
        </w:rPr>
        <w:t>Legal Services Technical Committee</w:t>
      </w:r>
      <w:r w:rsidR="00E77B92" w:rsidRPr="006C6879">
        <w:rPr>
          <w:rFonts w:ascii="Century Schoolbook" w:hAnsi="Century Schoolbook" w:cs="Times New Roman"/>
          <w:sz w:val="24"/>
          <w:szCs w:val="24"/>
        </w:rPr>
        <w:t xml:space="preserve"> has </w:t>
      </w:r>
      <w:r w:rsidR="003C78C5">
        <w:rPr>
          <w:rFonts w:ascii="Century Schoolbook" w:hAnsi="Century Schoolbook" w:cs="Times New Roman"/>
          <w:sz w:val="24"/>
          <w:szCs w:val="24"/>
        </w:rPr>
        <w:t xml:space="preserve">(per the Legal Aid Guide) </w:t>
      </w:r>
      <w:r w:rsidR="00E77B92" w:rsidRPr="006C6879">
        <w:rPr>
          <w:rFonts w:ascii="Century Schoolbook" w:hAnsi="Century Schoolbook" w:cs="Times New Roman"/>
          <w:sz w:val="24"/>
          <w:szCs w:val="24"/>
        </w:rPr>
        <w:t>the ‘collective responsibility’ for ‘managing the legal services delivery programme</w:t>
      </w:r>
      <w:r w:rsidR="00DB4AF9">
        <w:rPr>
          <w:rFonts w:ascii="Century Schoolbook" w:hAnsi="Century Schoolbook" w:cs="Times New Roman"/>
          <w:sz w:val="24"/>
          <w:szCs w:val="24"/>
        </w:rPr>
        <w:t>’ and ‘</w:t>
      </w:r>
      <w:r w:rsidR="00E77B92" w:rsidRPr="006C6879">
        <w:rPr>
          <w:rFonts w:ascii="Century Schoolbook" w:hAnsi="Century Schoolbook" w:cs="Times New Roman"/>
          <w:sz w:val="24"/>
          <w:szCs w:val="24"/>
        </w:rPr>
        <w:t>the execution of all Board strategy, policies, programmes and plans relating to the legal services delivery programme of the Legal Aid South Africa’.</w:t>
      </w:r>
      <w:r w:rsidR="00E77B92" w:rsidRPr="006C6879">
        <w:rPr>
          <w:rStyle w:val="FootnoteReference"/>
          <w:rFonts w:ascii="Century Schoolbook" w:hAnsi="Century Schoolbook" w:cs="Times New Roman"/>
          <w:sz w:val="24"/>
          <w:szCs w:val="24"/>
        </w:rPr>
        <w:footnoteReference w:id="66"/>
      </w:r>
      <w:r w:rsidR="00E77B92" w:rsidRPr="006C6879">
        <w:rPr>
          <w:rFonts w:ascii="Century Schoolbook" w:hAnsi="Century Schoolbook" w:cs="Times New Roman"/>
          <w:sz w:val="24"/>
          <w:szCs w:val="24"/>
        </w:rPr>
        <w:t xml:space="preserve"> </w:t>
      </w:r>
    </w:p>
    <w:p w:rsidR="00E77B92" w:rsidRPr="006C6879" w:rsidRDefault="00EF57FB"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In </w:t>
      </w:r>
      <w:r w:rsidR="00363891" w:rsidRPr="006C6879">
        <w:rPr>
          <w:rFonts w:ascii="Century Schoolbook" w:hAnsi="Century Schoolbook" w:cs="Times New Roman"/>
          <w:sz w:val="24"/>
          <w:szCs w:val="24"/>
        </w:rPr>
        <w:t xml:space="preserve">CEO Vedalankar’s </w:t>
      </w:r>
      <w:r w:rsidR="003C78C5">
        <w:rPr>
          <w:rFonts w:ascii="Century Schoolbook" w:hAnsi="Century Schoolbook" w:cs="Times New Roman"/>
          <w:sz w:val="24"/>
          <w:szCs w:val="24"/>
        </w:rPr>
        <w:t xml:space="preserve">parliamentary </w:t>
      </w:r>
      <w:r w:rsidR="007B241A">
        <w:rPr>
          <w:rFonts w:ascii="Century Schoolbook" w:hAnsi="Century Schoolbook" w:cs="Times New Roman"/>
          <w:sz w:val="24"/>
          <w:szCs w:val="24"/>
        </w:rPr>
        <w:t>presentation titled</w:t>
      </w:r>
      <w:r w:rsidR="007B241A"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‘Briefing of Justice Portfolio Committee 5</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August 2009’</w:t>
      </w:r>
      <w:r w:rsidR="007B241A">
        <w:rPr>
          <w:rFonts w:ascii="Century Schoolbook" w:hAnsi="Century Schoolbook" w:cs="Times New Roman"/>
          <w:sz w:val="24"/>
          <w:szCs w:val="24"/>
        </w:rPr>
        <w:t>,</w:t>
      </w:r>
      <w:r w:rsidR="00487AEA">
        <w:rPr>
          <w:rStyle w:val="FootnoteReference"/>
          <w:rFonts w:ascii="Century Schoolbook" w:hAnsi="Century Schoolbook" w:cs="Times New Roman"/>
          <w:sz w:val="24"/>
          <w:szCs w:val="24"/>
        </w:rPr>
        <w:footnoteReference w:id="67"/>
      </w:r>
      <w:r w:rsidR="00487AEA"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a</w:t>
      </w:r>
      <w:r w:rsidR="00E77B92" w:rsidRPr="006C6879">
        <w:rPr>
          <w:rFonts w:ascii="Century Schoolbook" w:hAnsi="Century Schoolbook" w:cs="Times New Roman"/>
          <w:sz w:val="24"/>
          <w:szCs w:val="24"/>
        </w:rPr>
        <w:t xml:space="preserve"> couple of months before </w:t>
      </w:r>
      <w:r w:rsidR="00363891" w:rsidRPr="006C6879">
        <w:rPr>
          <w:rFonts w:ascii="Century Schoolbook" w:hAnsi="Century Schoolbook" w:cs="Times New Roman"/>
          <w:sz w:val="24"/>
          <w:szCs w:val="24"/>
        </w:rPr>
        <w:t xml:space="preserve">she </w:t>
      </w:r>
      <w:r w:rsidR="00E77B92" w:rsidRPr="006C6879">
        <w:rPr>
          <w:rFonts w:ascii="Century Schoolbook" w:hAnsi="Century Schoolbook" w:cs="Times New Roman"/>
          <w:sz w:val="24"/>
          <w:szCs w:val="24"/>
        </w:rPr>
        <w:t xml:space="preserve">and her fellow management executives proposed </w:t>
      </w:r>
      <w:r w:rsidR="009543BA">
        <w:rPr>
          <w:rFonts w:ascii="Century Schoolbook" w:hAnsi="Century Schoolbook" w:cs="Times New Roman"/>
          <w:sz w:val="24"/>
          <w:szCs w:val="24"/>
        </w:rPr>
        <w:t xml:space="preserve">that </w:t>
      </w:r>
      <w:r w:rsidR="00487AEA">
        <w:rPr>
          <w:rFonts w:ascii="Century Schoolbook" w:hAnsi="Century Schoolbook" w:cs="Times New Roman"/>
          <w:sz w:val="24"/>
          <w:szCs w:val="24"/>
        </w:rPr>
        <w:t xml:space="preserve">LASA’s </w:t>
      </w:r>
      <w:r w:rsidR="009543BA">
        <w:rPr>
          <w:rFonts w:ascii="Century Schoolbook" w:hAnsi="Century Schoolbook" w:cs="Times New Roman"/>
          <w:sz w:val="24"/>
          <w:szCs w:val="24"/>
        </w:rPr>
        <w:t xml:space="preserve">Board approve the creation of the </w:t>
      </w:r>
      <w:r w:rsidR="00E77B92" w:rsidRPr="006C6879">
        <w:rPr>
          <w:rFonts w:ascii="Century Schoolbook" w:hAnsi="Century Schoolbook" w:cs="Times New Roman"/>
          <w:sz w:val="24"/>
          <w:szCs w:val="24"/>
        </w:rPr>
        <w:t xml:space="preserve">new Senior Litigator posts, </w:t>
      </w:r>
      <w:r w:rsidR="00363891" w:rsidRPr="006C6879">
        <w:rPr>
          <w:rFonts w:ascii="Century Schoolbook" w:hAnsi="Century Schoolbook" w:cs="Times New Roman"/>
          <w:sz w:val="24"/>
          <w:szCs w:val="24"/>
        </w:rPr>
        <w:t>she</w:t>
      </w:r>
      <w:r w:rsidR="00E77B92" w:rsidRPr="006C6879">
        <w:rPr>
          <w:rFonts w:ascii="Century Schoolbook" w:hAnsi="Century Schoolbook" w:cs="Times New Roman"/>
          <w:sz w:val="24"/>
          <w:szCs w:val="24"/>
        </w:rPr>
        <w:t xml:space="preserve"> mentioned</w:t>
      </w:r>
      <w:r w:rsidR="007B241A" w:rsidRPr="007B241A">
        <w:rPr>
          <w:rFonts w:ascii="Century Schoolbook" w:hAnsi="Century Schoolbook" w:cs="Times New Roman"/>
          <w:sz w:val="24"/>
          <w:szCs w:val="24"/>
        </w:rPr>
        <w:t xml:space="preserve"> </w:t>
      </w:r>
      <w:r w:rsidR="007B241A" w:rsidRPr="006C6879">
        <w:rPr>
          <w:rFonts w:ascii="Century Schoolbook" w:hAnsi="Century Schoolbook" w:cs="Times New Roman"/>
          <w:sz w:val="24"/>
          <w:szCs w:val="24"/>
        </w:rPr>
        <w:t xml:space="preserve">among </w:t>
      </w:r>
      <w:r w:rsidR="007B241A">
        <w:rPr>
          <w:rFonts w:ascii="Century Schoolbook" w:hAnsi="Century Schoolbook" w:cs="Times New Roman"/>
          <w:sz w:val="24"/>
          <w:szCs w:val="24"/>
        </w:rPr>
        <w:t>LASA’s</w:t>
      </w:r>
      <w:r w:rsidR="007B241A" w:rsidRPr="006C6879">
        <w:rPr>
          <w:rFonts w:ascii="Century Schoolbook" w:hAnsi="Century Schoolbook" w:cs="Times New Roman"/>
          <w:sz w:val="24"/>
          <w:szCs w:val="24"/>
        </w:rPr>
        <w:t xml:space="preserve"> ‘Legal Delivery Challenges’</w:t>
      </w:r>
      <w:r w:rsidRPr="006C6879">
        <w:rPr>
          <w:rFonts w:ascii="Century Schoolbook" w:hAnsi="Century Schoolbook" w:cs="Times New Roman"/>
          <w:sz w:val="24"/>
          <w:szCs w:val="24"/>
        </w:rPr>
        <w:t xml:space="preserve"> </w:t>
      </w:r>
      <w:r w:rsidR="007B241A">
        <w:rPr>
          <w:rFonts w:ascii="Century Schoolbook" w:hAnsi="Century Schoolbook" w:cs="Times New Roman"/>
          <w:sz w:val="24"/>
          <w:szCs w:val="24"/>
        </w:rPr>
        <w:t xml:space="preserve">its </w:t>
      </w:r>
      <w:r w:rsidRPr="006C6879">
        <w:rPr>
          <w:rFonts w:ascii="Century Schoolbook" w:hAnsi="Century Schoolbook" w:cs="Times New Roman"/>
          <w:sz w:val="24"/>
          <w:szCs w:val="24"/>
        </w:rPr>
        <w:t>‘Limited capacity to render civil legal aid services’</w:t>
      </w:r>
      <w:r w:rsidRPr="006C6879">
        <w:rPr>
          <w:rStyle w:val="FootnoteReference"/>
          <w:rFonts w:ascii="Century Schoolbook" w:hAnsi="Century Schoolbook" w:cs="Times New Roman"/>
          <w:sz w:val="24"/>
          <w:szCs w:val="24"/>
        </w:rPr>
        <w:footnoteReference w:id="68"/>
      </w:r>
      <w:r w:rsidRPr="006C6879">
        <w:rPr>
          <w:rFonts w:ascii="Century Schoolbook" w:hAnsi="Century Schoolbook" w:cs="Times New Roman"/>
          <w:sz w:val="24"/>
          <w:szCs w:val="24"/>
        </w:rPr>
        <w:t xml:space="preserve"> </w:t>
      </w:r>
      <w:r w:rsidR="00E77B92" w:rsidRPr="006C6879">
        <w:rPr>
          <w:rFonts w:ascii="Century Schoolbook" w:hAnsi="Century Schoolbook" w:cs="Times New Roman"/>
          <w:sz w:val="24"/>
          <w:szCs w:val="24"/>
        </w:rPr>
        <w:t xml:space="preserve">– hence </w:t>
      </w:r>
      <w:r w:rsidR="007B241A">
        <w:rPr>
          <w:rFonts w:ascii="Century Schoolbook" w:hAnsi="Century Schoolbook" w:cs="Times New Roman"/>
          <w:sz w:val="24"/>
          <w:szCs w:val="24"/>
        </w:rPr>
        <w:t>the organisation’s</w:t>
      </w:r>
      <w:r w:rsidR="00E77B92" w:rsidRPr="006C6879">
        <w:rPr>
          <w:rFonts w:ascii="Century Schoolbook" w:hAnsi="Century Schoolbook" w:cs="Times New Roman"/>
          <w:sz w:val="24"/>
          <w:szCs w:val="24"/>
        </w:rPr>
        <w:t xml:space="preserve"> resolution in its ‘Way Forward’ to ‘Increase Legal Aid SA’s capacity to render civil legal aid services.’</w:t>
      </w:r>
      <w:r w:rsidR="00E77B92" w:rsidRPr="006C6879">
        <w:rPr>
          <w:rStyle w:val="FootnoteReference"/>
          <w:rFonts w:ascii="Century Schoolbook" w:hAnsi="Century Schoolbook" w:cs="Times New Roman"/>
          <w:sz w:val="24"/>
          <w:szCs w:val="24"/>
        </w:rPr>
        <w:footnoteReference w:id="69"/>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lastRenderedPageBreak/>
        <w:t>LASA</w:t>
      </w:r>
      <w:r w:rsidR="006B2E2E" w:rsidRPr="006B2E2E">
        <w:rPr>
          <w:rFonts w:ascii="Century Schoolbook" w:hAnsi="Century Schoolbook" w:cs="Times New Roman"/>
          <w:sz w:val="24"/>
          <w:szCs w:val="24"/>
        </w:rPr>
        <w:t xml:space="preserve"> </w:t>
      </w:r>
      <w:r w:rsidR="006B2E2E" w:rsidRPr="006C6879">
        <w:rPr>
          <w:rFonts w:ascii="Century Schoolbook" w:hAnsi="Century Schoolbook" w:cs="Times New Roman"/>
          <w:sz w:val="24"/>
          <w:szCs w:val="24"/>
        </w:rPr>
        <w:t xml:space="preserve">elaborated </w:t>
      </w:r>
      <w:r w:rsidR="006B2E2E">
        <w:rPr>
          <w:rFonts w:ascii="Century Schoolbook" w:hAnsi="Century Schoolbook" w:cs="Times New Roman"/>
          <w:sz w:val="24"/>
          <w:szCs w:val="24"/>
        </w:rPr>
        <w:t>more specifically</w:t>
      </w:r>
      <w:r w:rsidRPr="006C6879">
        <w:rPr>
          <w:rFonts w:ascii="Century Schoolbook" w:hAnsi="Century Schoolbook" w:cs="Times New Roman"/>
          <w:sz w:val="24"/>
          <w:szCs w:val="24"/>
        </w:rPr>
        <w:t xml:space="preserve"> </w:t>
      </w:r>
      <w:r w:rsidR="006B2E2E">
        <w:rPr>
          <w:rFonts w:ascii="Century Schoolbook" w:hAnsi="Century Schoolbook" w:cs="Times New Roman"/>
          <w:sz w:val="24"/>
          <w:szCs w:val="24"/>
        </w:rPr>
        <w:t xml:space="preserve">its </w:t>
      </w:r>
      <w:r w:rsidRPr="006C6879">
        <w:rPr>
          <w:rFonts w:ascii="Century Schoolbook" w:hAnsi="Century Schoolbook" w:cs="Times New Roman"/>
          <w:sz w:val="24"/>
          <w:szCs w:val="24"/>
        </w:rPr>
        <w:t xml:space="preserve">lack of capacity to undertake complex, high-level litigation in </w:t>
      </w:r>
      <w:r w:rsidR="006B2E2E">
        <w:rPr>
          <w:rFonts w:ascii="Century Schoolbook" w:hAnsi="Century Schoolbook" w:cs="Times New Roman"/>
          <w:sz w:val="24"/>
          <w:szCs w:val="24"/>
        </w:rPr>
        <w:t xml:space="preserve">its </w:t>
      </w:r>
      <w:r w:rsidRPr="006C6879">
        <w:rPr>
          <w:rFonts w:ascii="Century Schoolbook" w:hAnsi="Century Schoolbook" w:cs="Times New Roman"/>
          <w:sz w:val="24"/>
          <w:szCs w:val="24"/>
        </w:rPr>
        <w:t>draft ‘Strategic Plan 2009–2012’, issued about a year earlier on 5</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September 2008,</w:t>
      </w:r>
      <w:r w:rsidRPr="006C6879">
        <w:rPr>
          <w:rStyle w:val="FootnoteReference"/>
          <w:rFonts w:ascii="Century Schoolbook" w:hAnsi="Century Schoolbook" w:cs="Times New Roman"/>
          <w:sz w:val="24"/>
          <w:szCs w:val="24"/>
        </w:rPr>
        <w:footnoteReference w:id="70"/>
      </w:r>
      <w:r w:rsidRPr="006C6879">
        <w:rPr>
          <w:rFonts w:ascii="Century Schoolbook" w:hAnsi="Century Schoolbook" w:cs="Times New Roman"/>
          <w:sz w:val="24"/>
          <w:szCs w:val="24"/>
        </w:rPr>
        <w:t xml:space="preserve"> namely</w:t>
      </w:r>
      <w:r w:rsidR="00EF57FB" w:rsidRPr="006C6879">
        <w:rPr>
          <w:rFonts w:ascii="Century Schoolbook" w:hAnsi="Century Schoolbook" w:cs="Times New Roman"/>
          <w:sz w:val="24"/>
          <w:szCs w:val="24"/>
        </w:rPr>
        <w:t xml:space="preserve"> its</w:t>
      </w:r>
      <w:r w:rsidRPr="006C6879">
        <w:rPr>
          <w:rFonts w:ascii="Century Schoolbook" w:hAnsi="Century Schoolbook" w:cs="Times New Roman"/>
          <w:sz w:val="24"/>
          <w:szCs w:val="24"/>
        </w:rPr>
        <w:t xml:space="preserve"> ‘Lack of speciali</w:t>
      </w:r>
      <w:r w:rsidR="00762D1B">
        <w:rPr>
          <w:rFonts w:ascii="Century Schoolbook" w:hAnsi="Century Schoolbook" w:cs="Times New Roman"/>
          <w:sz w:val="24"/>
          <w:szCs w:val="24"/>
        </w:rPr>
        <w:t>s</w:t>
      </w:r>
      <w:r w:rsidRPr="006C6879">
        <w:rPr>
          <w:rFonts w:ascii="Century Schoolbook" w:hAnsi="Century Schoolbook" w:cs="Times New Roman"/>
          <w:sz w:val="24"/>
          <w:szCs w:val="24"/>
        </w:rPr>
        <w:t>ed legal skills’ and ‘Lack of capacity to provide impact litigation’</w:t>
      </w:r>
      <w:r w:rsidRPr="006C6879">
        <w:rPr>
          <w:rStyle w:val="FootnoteReference"/>
          <w:rFonts w:ascii="Century Schoolbook" w:hAnsi="Century Schoolbook" w:cs="Times New Roman"/>
          <w:sz w:val="24"/>
          <w:szCs w:val="24"/>
        </w:rPr>
        <w:footnoteReference w:id="71"/>
      </w:r>
      <w:r w:rsidRPr="006C6879">
        <w:rPr>
          <w:rFonts w:ascii="Century Schoolbook" w:hAnsi="Century Schoolbook" w:cs="Times New Roman"/>
          <w:sz w:val="24"/>
          <w:szCs w:val="24"/>
        </w:rPr>
        <w:t xml:space="preserve"> – which </w:t>
      </w:r>
      <w:r w:rsidR="00487AEA">
        <w:rPr>
          <w:rFonts w:ascii="Century Schoolbook" w:hAnsi="Century Schoolbook" w:cs="Times New Roman"/>
          <w:sz w:val="24"/>
          <w:szCs w:val="24"/>
        </w:rPr>
        <w:t>i</w:t>
      </w:r>
      <w:r w:rsidRPr="006C6879">
        <w:rPr>
          <w:rFonts w:ascii="Century Schoolbook" w:hAnsi="Century Schoolbook" w:cs="Times New Roman"/>
          <w:sz w:val="24"/>
          <w:szCs w:val="24"/>
        </w:rPr>
        <w:t>s why the Strategic Plan 2009–12 stated that ‘the Legal Aid Board should capacitate for speciali</w:t>
      </w:r>
      <w:r w:rsidR="00762D1B">
        <w:rPr>
          <w:rFonts w:ascii="Century Schoolbook" w:hAnsi="Century Schoolbook" w:cs="Times New Roman"/>
          <w:sz w:val="24"/>
          <w:szCs w:val="24"/>
        </w:rPr>
        <w:t>s</w:t>
      </w:r>
      <w:r w:rsidRPr="006C6879">
        <w:rPr>
          <w:rFonts w:ascii="Century Schoolbook" w:hAnsi="Century Schoolbook" w:cs="Times New Roman"/>
          <w:sz w:val="24"/>
          <w:szCs w:val="24"/>
        </w:rPr>
        <w:t>ed skills’.</w:t>
      </w:r>
      <w:r w:rsidRPr="006C6879">
        <w:rPr>
          <w:rStyle w:val="FootnoteReference"/>
          <w:rFonts w:ascii="Century Schoolbook" w:hAnsi="Century Schoolbook" w:cs="Times New Roman"/>
          <w:sz w:val="24"/>
          <w:szCs w:val="24"/>
        </w:rPr>
        <w:footnoteReference w:id="72"/>
      </w:r>
    </w:p>
    <w:p w:rsidR="00E77B92" w:rsidRPr="006C6879" w:rsidRDefault="00487AEA" w:rsidP="00564CE4">
      <w:pPr>
        <w:pStyle w:val="ListParagraph"/>
        <w:numPr>
          <w:ilvl w:val="0"/>
          <w:numId w:val="1"/>
        </w:numPr>
        <w:tabs>
          <w:tab w:val="left" w:pos="284"/>
          <w:tab w:val="left" w:pos="426"/>
        </w:tabs>
        <w:spacing w:line="360" w:lineRule="auto"/>
        <w:ind w:left="0" w:firstLine="0"/>
        <w:rPr>
          <w:rFonts w:ascii="Century Schoolbook" w:hAnsi="Century Schoolbook" w:cs="Times New Roman"/>
          <w:sz w:val="24"/>
          <w:szCs w:val="24"/>
        </w:rPr>
      </w:pPr>
      <w:r>
        <w:rPr>
          <w:rFonts w:ascii="Century Schoolbook" w:hAnsi="Century Schoolbook" w:cs="Times New Roman"/>
          <w:sz w:val="24"/>
          <w:szCs w:val="24"/>
        </w:rPr>
        <w:t>Accordingly, the objects of LASA’s</w:t>
      </w:r>
      <w:r w:rsidR="00E77B92" w:rsidRPr="006C6879">
        <w:rPr>
          <w:rFonts w:ascii="Century Schoolbook" w:hAnsi="Century Schoolbook" w:cs="Times New Roman"/>
          <w:sz w:val="24"/>
          <w:szCs w:val="24"/>
        </w:rPr>
        <w:t xml:space="preserve"> Strategic Plan 2009–2012 in this regard were: </w:t>
      </w:r>
    </w:p>
    <w:p w:rsidR="00E77B92" w:rsidRPr="006C6879" w:rsidRDefault="00E77B92" w:rsidP="00564CE4">
      <w:pPr>
        <w:pStyle w:val="ListParagraph"/>
        <w:numPr>
          <w:ilvl w:val="0"/>
          <w:numId w:val="4"/>
        </w:numPr>
        <w:tabs>
          <w:tab w:val="left" w:pos="709"/>
        </w:tabs>
        <w:spacing w:line="360" w:lineRule="auto"/>
        <w:ind w:left="709" w:hanging="283"/>
        <w:rPr>
          <w:rFonts w:ascii="Century Schoolbook" w:hAnsi="Century Schoolbook" w:cs="Times New Roman"/>
          <w:sz w:val="24"/>
          <w:szCs w:val="24"/>
        </w:rPr>
      </w:pPr>
      <w:r w:rsidRPr="006C6879">
        <w:rPr>
          <w:rFonts w:ascii="Century Schoolbook" w:hAnsi="Century Schoolbook" w:cs="Times New Roman"/>
          <w:sz w:val="24"/>
          <w:szCs w:val="24"/>
        </w:rPr>
        <w:t>‘To develop a full appreciation of the civil justice needs of the poor and provide more civil representation’;</w:t>
      </w:r>
      <w:r w:rsidRPr="006C6879">
        <w:rPr>
          <w:rStyle w:val="FootnoteReference"/>
          <w:rFonts w:ascii="Century Schoolbook" w:hAnsi="Century Schoolbook" w:cs="Times New Roman"/>
          <w:sz w:val="24"/>
          <w:szCs w:val="24"/>
        </w:rPr>
        <w:footnoteReference w:id="73"/>
      </w:r>
    </w:p>
    <w:p w:rsidR="00E77B92" w:rsidRPr="006C6879" w:rsidRDefault="00E77B92" w:rsidP="00564CE4">
      <w:pPr>
        <w:pStyle w:val="ListParagraph"/>
        <w:numPr>
          <w:ilvl w:val="0"/>
          <w:numId w:val="4"/>
        </w:numPr>
        <w:tabs>
          <w:tab w:val="left" w:pos="709"/>
        </w:tabs>
        <w:spacing w:line="360" w:lineRule="auto"/>
        <w:ind w:left="709" w:hanging="283"/>
        <w:rPr>
          <w:rFonts w:ascii="Century Schoolbook" w:hAnsi="Century Schoolbook" w:cs="Times New Roman"/>
          <w:sz w:val="24"/>
          <w:szCs w:val="24"/>
        </w:rPr>
      </w:pPr>
      <w:r w:rsidRPr="006C6879">
        <w:rPr>
          <w:rFonts w:ascii="Century Schoolbook" w:hAnsi="Century Schoolbook" w:cs="Times New Roman"/>
          <w:sz w:val="24"/>
          <w:szCs w:val="24"/>
        </w:rPr>
        <w:t>‘To undertake targeted impact litigation’;</w:t>
      </w:r>
      <w:r w:rsidRPr="006C6879">
        <w:rPr>
          <w:rStyle w:val="FootnoteReference"/>
          <w:rFonts w:ascii="Century Schoolbook" w:hAnsi="Century Schoolbook" w:cs="Times New Roman"/>
          <w:sz w:val="24"/>
          <w:szCs w:val="24"/>
        </w:rPr>
        <w:footnoteReference w:id="74"/>
      </w:r>
    </w:p>
    <w:p w:rsidR="00E77B92" w:rsidRPr="006C6879" w:rsidRDefault="00E77B92" w:rsidP="00564CE4">
      <w:pPr>
        <w:pStyle w:val="ListParagraph"/>
        <w:numPr>
          <w:ilvl w:val="0"/>
          <w:numId w:val="4"/>
        </w:numPr>
        <w:tabs>
          <w:tab w:val="left" w:pos="709"/>
        </w:tabs>
        <w:spacing w:line="360" w:lineRule="auto"/>
        <w:ind w:left="709" w:hanging="283"/>
        <w:rPr>
          <w:rFonts w:ascii="Century Schoolbook" w:hAnsi="Century Schoolbook" w:cs="Times New Roman"/>
          <w:sz w:val="24"/>
          <w:szCs w:val="24"/>
        </w:rPr>
      </w:pPr>
      <w:r w:rsidRPr="006C6879">
        <w:rPr>
          <w:rFonts w:ascii="Century Schoolbook" w:hAnsi="Century Schoolbook" w:cs="Times New Roman"/>
          <w:sz w:val="24"/>
          <w:szCs w:val="24"/>
        </w:rPr>
        <w:t>‘To improve access to justice through impact litigation’;</w:t>
      </w:r>
      <w:r w:rsidRPr="006C6879">
        <w:rPr>
          <w:rStyle w:val="FootnoteReference"/>
          <w:rFonts w:ascii="Century Schoolbook" w:hAnsi="Century Schoolbook" w:cs="Times New Roman"/>
          <w:sz w:val="24"/>
          <w:szCs w:val="24"/>
        </w:rPr>
        <w:footnoteReference w:id="75"/>
      </w:r>
    </w:p>
    <w:p w:rsidR="00E77B92" w:rsidRPr="006C6879" w:rsidRDefault="00E77B92" w:rsidP="00564CE4">
      <w:pPr>
        <w:pStyle w:val="ListParagraph"/>
        <w:numPr>
          <w:ilvl w:val="0"/>
          <w:numId w:val="4"/>
        </w:numPr>
        <w:tabs>
          <w:tab w:val="left" w:pos="709"/>
        </w:tabs>
        <w:spacing w:line="360" w:lineRule="auto"/>
        <w:ind w:left="709" w:hanging="283"/>
        <w:rPr>
          <w:rFonts w:ascii="Century Schoolbook" w:hAnsi="Century Schoolbook" w:cs="Times New Roman"/>
          <w:sz w:val="24"/>
          <w:szCs w:val="24"/>
        </w:rPr>
      </w:pPr>
      <w:r w:rsidRPr="006C6879">
        <w:rPr>
          <w:rFonts w:ascii="Century Schoolbook" w:hAnsi="Century Schoolbook" w:cs="Times New Roman"/>
          <w:sz w:val="24"/>
          <w:szCs w:val="24"/>
        </w:rPr>
        <w:t>To ‘recruit specialist skills’;</w:t>
      </w:r>
      <w:r w:rsidRPr="006C6879">
        <w:rPr>
          <w:rStyle w:val="FootnoteReference"/>
          <w:rFonts w:ascii="Century Schoolbook" w:hAnsi="Century Schoolbook" w:cs="Times New Roman"/>
          <w:sz w:val="24"/>
          <w:szCs w:val="24"/>
        </w:rPr>
        <w:footnoteReference w:id="76"/>
      </w:r>
    </w:p>
    <w:p w:rsidR="00E77B92" w:rsidRPr="006C6879" w:rsidRDefault="00E77B92" w:rsidP="00564CE4">
      <w:pPr>
        <w:pStyle w:val="ListParagraph"/>
        <w:numPr>
          <w:ilvl w:val="0"/>
          <w:numId w:val="4"/>
        </w:numPr>
        <w:tabs>
          <w:tab w:val="left" w:pos="709"/>
        </w:tabs>
        <w:spacing w:line="360" w:lineRule="auto"/>
        <w:ind w:left="709" w:hanging="283"/>
        <w:rPr>
          <w:rFonts w:ascii="Century Schoolbook" w:hAnsi="Century Schoolbook" w:cs="Times New Roman"/>
          <w:sz w:val="24"/>
          <w:szCs w:val="24"/>
        </w:rPr>
      </w:pPr>
      <w:r w:rsidRPr="006C6879">
        <w:rPr>
          <w:rFonts w:ascii="Century Schoolbook" w:hAnsi="Century Schoolbook" w:cs="Times New Roman"/>
          <w:sz w:val="24"/>
          <w:szCs w:val="24"/>
        </w:rPr>
        <w:t>To effect ‘increased capacity of LAB ie more legal specialists’;</w:t>
      </w:r>
      <w:r w:rsidRPr="006C6879">
        <w:rPr>
          <w:rStyle w:val="FootnoteReference"/>
          <w:rFonts w:ascii="Century Schoolbook" w:hAnsi="Century Schoolbook" w:cs="Times New Roman"/>
          <w:sz w:val="24"/>
          <w:szCs w:val="24"/>
        </w:rPr>
        <w:t xml:space="preserve"> </w:t>
      </w:r>
      <w:r w:rsidRPr="006C6879">
        <w:rPr>
          <w:rStyle w:val="FootnoteReference"/>
          <w:rFonts w:ascii="Century Schoolbook" w:hAnsi="Century Schoolbook" w:cs="Times New Roman"/>
          <w:sz w:val="24"/>
          <w:szCs w:val="24"/>
        </w:rPr>
        <w:footnoteReference w:id="77"/>
      </w:r>
      <w:r w:rsidRPr="006C6879">
        <w:rPr>
          <w:rFonts w:ascii="Century Schoolbook" w:hAnsi="Century Schoolbook" w:cs="Times New Roman"/>
          <w:sz w:val="24"/>
          <w:szCs w:val="24"/>
        </w:rPr>
        <w:t xml:space="preserve"> and,</w:t>
      </w:r>
    </w:p>
    <w:p w:rsidR="00E77B92" w:rsidRPr="006C6879" w:rsidRDefault="00E77B92" w:rsidP="00E77B92">
      <w:pPr>
        <w:pStyle w:val="ListParagraph"/>
        <w:numPr>
          <w:ilvl w:val="0"/>
          <w:numId w:val="4"/>
        </w:numPr>
        <w:tabs>
          <w:tab w:val="left" w:pos="709"/>
        </w:tabs>
        <w:spacing w:line="360" w:lineRule="auto"/>
        <w:ind w:left="709" w:hanging="283"/>
        <w:contextualSpacing w:val="0"/>
        <w:rPr>
          <w:rFonts w:ascii="Century Schoolbook" w:hAnsi="Century Schoolbook" w:cs="Times New Roman"/>
          <w:sz w:val="24"/>
          <w:szCs w:val="24"/>
        </w:rPr>
      </w:pPr>
      <w:r w:rsidRPr="006C6879">
        <w:rPr>
          <w:rFonts w:ascii="Century Schoolbook" w:hAnsi="Century Schoolbook" w:cs="Times New Roman"/>
          <w:sz w:val="24"/>
          <w:szCs w:val="24"/>
        </w:rPr>
        <w:t>To ‘capacitate civil units ie more staff and more supervision’.</w:t>
      </w:r>
      <w:r w:rsidRPr="006C6879">
        <w:rPr>
          <w:rStyle w:val="FootnoteReference"/>
          <w:rFonts w:ascii="Century Schoolbook" w:hAnsi="Century Schoolbook" w:cs="Times New Roman"/>
          <w:sz w:val="24"/>
          <w:szCs w:val="24"/>
        </w:rPr>
        <w:footnoteReference w:id="78"/>
      </w:r>
    </w:p>
    <w:p w:rsidR="00B60C44" w:rsidRPr="006C6879" w:rsidRDefault="004A65C6" w:rsidP="00B60C44">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In September 2009</w:t>
      </w:r>
      <w:r w:rsidR="00EB0B50">
        <w:rPr>
          <w:rFonts w:ascii="Century Schoolbook" w:hAnsi="Century Schoolbook" w:cs="Times New Roman"/>
          <w:sz w:val="24"/>
          <w:szCs w:val="24"/>
        </w:rPr>
        <w:t>,</w:t>
      </w:r>
      <w:r w:rsidRPr="006C6879">
        <w:rPr>
          <w:rStyle w:val="FootnoteReference"/>
          <w:rFonts w:ascii="Century Schoolbook" w:hAnsi="Century Schoolbook" w:cs="Times New Roman"/>
          <w:sz w:val="24"/>
          <w:szCs w:val="24"/>
        </w:rPr>
        <w:footnoteReference w:id="79"/>
      </w:r>
      <w:r w:rsidRPr="006C6879">
        <w:rPr>
          <w:rFonts w:ascii="Century Schoolbook" w:hAnsi="Century Schoolbook" w:cs="Times New Roman"/>
          <w:sz w:val="24"/>
          <w:szCs w:val="24"/>
        </w:rPr>
        <w:t xml:space="preserve"> </w:t>
      </w:r>
      <w:r w:rsidR="00B60C44" w:rsidRPr="006C6879">
        <w:rPr>
          <w:rFonts w:ascii="Century Schoolbook" w:hAnsi="Century Schoolbook" w:cs="Times New Roman"/>
          <w:sz w:val="24"/>
          <w:szCs w:val="24"/>
        </w:rPr>
        <w:t>LASA</w:t>
      </w:r>
      <w:r w:rsidR="00363891" w:rsidRPr="006C6879">
        <w:rPr>
          <w:rFonts w:ascii="Century Schoolbook" w:hAnsi="Century Schoolbook" w:cs="Times New Roman"/>
          <w:sz w:val="24"/>
          <w:szCs w:val="24"/>
        </w:rPr>
        <w:t>’s</w:t>
      </w:r>
      <w:r w:rsidR="00B60C44" w:rsidRPr="006C6879">
        <w:rPr>
          <w:rFonts w:ascii="Century Schoolbook" w:hAnsi="Century Schoolbook" w:cs="Times New Roman"/>
          <w:sz w:val="24"/>
          <w:szCs w:val="24"/>
        </w:rPr>
        <w:t xml:space="preserve"> Strategic Plan 2009–2012 was presented</w:t>
      </w:r>
      <w:r w:rsidR="00D25AE1" w:rsidRPr="006C6879">
        <w:rPr>
          <w:rFonts w:ascii="Century Schoolbook" w:hAnsi="Century Schoolbook" w:cs="Times New Roman"/>
          <w:sz w:val="24"/>
          <w:szCs w:val="24"/>
        </w:rPr>
        <w:t xml:space="preserve"> </w:t>
      </w:r>
      <w:r w:rsidR="00B60C44" w:rsidRPr="006C6879">
        <w:rPr>
          <w:rFonts w:ascii="Century Schoolbook" w:hAnsi="Century Schoolbook" w:cs="Times New Roman"/>
          <w:sz w:val="24"/>
          <w:szCs w:val="24"/>
        </w:rPr>
        <w:t>to</w:t>
      </w:r>
      <w:r w:rsidR="003C78C5" w:rsidRPr="003C78C5">
        <w:rPr>
          <w:rFonts w:ascii="Century Schoolbook" w:hAnsi="Century Schoolbook" w:cs="Times New Roman"/>
          <w:sz w:val="24"/>
          <w:szCs w:val="24"/>
        </w:rPr>
        <w:t xml:space="preserve"> </w:t>
      </w:r>
      <w:r w:rsidR="00BA4352" w:rsidRPr="006C6879">
        <w:rPr>
          <w:rFonts w:ascii="Century Schoolbook" w:hAnsi="Century Schoolbook" w:cs="Times New Roman"/>
          <w:sz w:val="24"/>
          <w:szCs w:val="24"/>
        </w:rPr>
        <w:t>the Minister</w:t>
      </w:r>
      <w:r w:rsidR="00BA4352">
        <w:rPr>
          <w:rFonts w:ascii="Century Schoolbook" w:hAnsi="Century Schoolbook" w:cs="Times New Roman"/>
          <w:sz w:val="24"/>
          <w:szCs w:val="24"/>
        </w:rPr>
        <w:t>, being</w:t>
      </w:r>
      <w:r w:rsidR="00BA4352" w:rsidRPr="006C6879">
        <w:rPr>
          <w:rFonts w:ascii="Century Schoolbook" w:hAnsi="Century Schoolbook" w:cs="Times New Roman"/>
          <w:sz w:val="24"/>
          <w:szCs w:val="24"/>
        </w:rPr>
        <w:t xml:space="preserve"> </w:t>
      </w:r>
      <w:r w:rsidR="003C78C5" w:rsidRPr="006C6879">
        <w:rPr>
          <w:rFonts w:ascii="Century Schoolbook" w:hAnsi="Century Schoolbook" w:cs="Times New Roman"/>
          <w:sz w:val="24"/>
          <w:szCs w:val="24"/>
        </w:rPr>
        <w:t xml:space="preserve">LASA’s </w:t>
      </w:r>
      <w:r w:rsidR="00BA4352">
        <w:rPr>
          <w:rFonts w:ascii="Century Schoolbook" w:hAnsi="Century Schoolbook" w:cs="Times New Roman"/>
          <w:sz w:val="24"/>
          <w:szCs w:val="24"/>
        </w:rPr>
        <w:t>‘</w:t>
      </w:r>
      <w:r w:rsidR="003C78C5" w:rsidRPr="006C6879">
        <w:rPr>
          <w:rFonts w:ascii="Century Schoolbook" w:hAnsi="Century Schoolbook" w:cs="Times New Roman"/>
          <w:sz w:val="24"/>
          <w:szCs w:val="24"/>
        </w:rPr>
        <w:t>executive authority</w:t>
      </w:r>
      <w:r w:rsidR="00BA4352">
        <w:rPr>
          <w:rFonts w:ascii="Century Schoolbook" w:hAnsi="Century Schoolbook" w:cs="Times New Roman"/>
          <w:sz w:val="24"/>
          <w:szCs w:val="24"/>
        </w:rPr>
        <w:t>’ under</w:t>
      </w:r>
      <w:r w:rsidR="005F3C82" w:rsidRPr="005F3C82">
        <w:rPr>
          <w:rFonts w:ascii="Century Schoolbook" w:hAnsi="Century Schoolbook" w:cs="Times New Roman"/>
          <w:sz w:val="24"/>
          <w:szCs w:val="24"/>
        </w:rPr>
        <w:t xml:space="preserve"> </w:t>
      </w:r>
      <w:r w:rsidR="00BA4352">
        <w:rPr>
          <w:rFonts w:ascii="Century Schoolbook" w:hAnsi="Century Schoolbook" w:cs="Times New Roman"/>
          <w:sz w:val="24"/>
          <w:szCs w:val="24"/>
        </w:rPr>
        <w:t xml:space="preserve">section 1 of the PFMA; and </w:t>
      </w:r>
      <w:r w:rsidR="00B60C44" w:rsidRPr="006C6879">
        <w:rPr>
          <w:rFonts w:ascii="Century Schoolbook" w:hAnsi="Century Schoolbook" w:cs="Times New Roman"/>
          <w:sz w:val="24"/>
          <w:szCs w:val="24"/>
        </w:rPr>
        <w:t>on 13 April 2010</w:t>
      </w:r>
      <w:r w:rsidR="00B60C44" w:rsidRPr="006C6879">
        <w:rPr>
          <w:rStyle w:val="FootnoteReference"/>
          <w:rFonts w:ascii="Century Schoolbook" w:hAnsi="Century Schoolbook" w:cs="Times New Roman"/>
          <w:sz w:val="24"/>
          <w:szCs w:val="24"/>
        </w:rPr>
        <w:footnoteReference w:id="80"/>
      </w:r>
      <w:r w:rsidR="00B60C44" w:rsidRPr="006C6879">
        <w:rPr>
          <w:rFonts w:ascii="Century Schoolbook" w:hAnsi="Century Schoolbook" w:cs="Times New Roman"/>
          <w:sz w:val="24"/>
          <w:szCs w:val="24"/>
        </w:rPr>
        <w:t xml:space="preserve"> </w:t>
      </w:r>
      <w:r w:rsidR="00487AEA">
        <w:rPr>
          <w:rFonts w:ascii="Century Schoolbook" w:hAnsi="Century Schoolbook" w:cs="Times New Roman"/>
          <w:sz w:val="24"/>
          <w:szCs w:val="24"/>
        </w:rPr>
        <w:t>to</w:t>
      </w:r>
      <w:r w:rsidR="00B60C44" w:rsidRPr="006C6879">
        <w:rPr>
          <w:rFonts w:ascii="Century Schoolbook" w:hAnsi="Century Schoolbook" w:cs="Times New Roman"/>
          <w:sz w:val="24"/>
          <w:szCs w:val="24"/>
        </w:rPr>
        <w:t xml:space="preserve"> </w:t>
      </w:r>
      <w:r w:rsidR="00487AEA" w:rsidRPr="006C6879">
        <w:rPr>
          <w:rFonts w:ascii="Century Schoolbook" w:hAnsi="Century Schoolbook" w:cs="Times New Roman"/>
          <w:sz w:val="24"/>
          <w:szCs w:val="24"/>
        </w:rPr>
        <w:t>the Justice</w:t>
      </w:r>
      <w:r w:rsidR="00487AEA">
        <w:rPr>
          <w:rFonts w:ascii="Century Schoolbook" w:hAnsi="Century Schoolbook" w:cs="Times New Roman"/>
          <w:sz w:val="24"/>
          <w:szCs w:val="24"/>
        </w:rPr>
        <w:t xml:space="preserve"> Portfolio Committee, </w:t>
      </w:r>
      <w:r w:rsidR="005F3C82" w:rsidRPr="006C6879">
        <w:rPr>
          <w:rFonts w:ascii="Century Schoolbook" w:hAnsi="Century Schoolbook" w:cs="Times New Roman"/>
          <w:sz w:val="24"/>
          <w:szCs w:val="24"/>
        </w:rPr>
        <w:t>LASA’s oversight authority under section 55(2)(b)(ii) of the Constitution</w:t>
      </w:r>
      <w:r w:rsidR="00B60C44" w:rsidRPr="006C6879">
        <w:rPr>
          <w:rFonts w:ascii="Century Schoolbook" w:hAnsi="Century Schoolbook" w:cs="Times New Roman"/>
          <w:sz w:val="24"/>
          <w:szCs w:val="24"/>
        </w:rPr>
        <w:t xml:space="preserve">. </w:t>
      </w:r>
    </w:p>
    <w:p w:rsidR="00E77B92" w:rsidRPr="006C6879" w:rsidRDefault="00363891"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The</w:t>
      </w:r>
      <w:r w:rsidR="00E77B92" w:rsidRPr="006C6879">
        <w:rPr>
          <w:rFonts w:ascii="Century Schoolbook" w:hAnsi="Century Schoolbook" w:cs="Times New Roman"/>
          <w:sz w:val="24"/>
          <w:szCs w:val="24"/>
        </w:rPr>
        <w:t xml:space="preserve"> Strategic Plan 2009–12 doesn’t mention Senior Litigator posts by name, </w:t>
      </w:r>
      <w:r w:rsidR="00A57FA7" w:rsidRPr="006C6879">
        <w:rPr>
          <w:rFonts w:ascii="Century Schoolbook" w:hAnsi="Century Schoolbook" w:cs="Times New Roman"/>
          <w:sz w:val="24"/>
          <w:szCs w:val="24"/>
        </w:rPr>
        <w:t xml:space="preserve">but </w:t>
      </w:r>
      <w:r w:rsidR="00E77B92" w:rsidRPr="006C6879">
        <w:rPr>
          <w:rFonts w:ascii="Century Schoolbook" w:hAnsi="Century Schoolbook" w:cs="Times New Roman"/>
          <w:sz w:val="24"/>
          <w:szCs w:val="24"/>
        </w:rPr>
        <w:t xml:space="preserve">LASA </w:t>
      </w:r>
      <w:r w:rsidR="00BA4352">
        <w:rPr>
          <w:rFonts w:ascii="Century Schoolbook" w:hAnsi="Century Schoolbook" w:cs="Times New Roman"/>
          <w:sz w:val="24"/>
          <w:szCs w:val="24"/>
        </w:rPr>
        <w:t xml:space="preserve">has </w:t>
      </w:r>
      <w:r w:rsidR="00E77B92" w:rsidRPr="006C6879">
        <w:rPr>
          <w:rFonts w:ascii="Century Schoolbook" w:hAnsi="Century Schoolbook" w:cs="Times New Roman"/>
          <w:sz w:val="24"/>
          <w:szCs w:val="24"/>
        </w:rPr>
        <w:t xml:space="preserve">expressly </w:t>
      </w:r>
      <w:r w:rsidR="00437D8E" w:rsidRPr="006C6879">
        <w:rPr>
          <w:rFonts w:ascii="Century Schoolbook" w:hAnsi="Century Schoolbook" w:cs="Times New Roman"/>
          <w:sz w:val="24"/>
          <w:szCs w:val="24"/>
        </w:rPr>
        <w:t>acknowledge</w:t>
      </w:r>
      <w:r w:rsidR="00BA4352">
        <w:rPr>
          <w:rFonts w:ascii="Century Schoolbook" w:hAnsi="Century Schoolbook" w:cs="Times New Roman"/>
          <w:sz w:val="24"/>
          <w:szCs w:val="24"/>
        </w:rPr>
        <w:t>d</w:t>
      </w:r>
      <w:r w:rsidR="00E77B92" w:rsidRPr="006C6879">
        <w:rPr>
          <w:rFonts w:ascii="Century Schoolbook" w:hAnsi="Century Schoolbook" w:cs="Times New Roman"/>
          <w:sz w:val="24"/>
          <w:szCs w:val="24"/>
        </w:rPr>
        <w:t xml:space="preserve"> that the engagement of Senior Litigators was integral to the plan to develop and increase LASA’s capacity to deliver expert litigation services to indigent litigants by creating a pool of specialist </w:t>
      </w:r>
      <w:r w:rsidR="00E77B92" w:rsidRPr="006C6879">
        <w:rPr>
          <w:rFonts w:ascii="Century Schoolbook" w:hAnsi="Century Schoolbook" w:cs="Times New Roman"/>
          <w:sz w:val="24"/>
          <w:szCs w:val="24"/>
        </w:rPr>
        <w:lastRenderedPageBreak/>
        <w:t xml:space="preserve">professionals to attend to complex matters in specialist and High Courts, including the Supreme Court of Appeal and </w:t>
      </w:r>
      <w:r w:rsidR="0065160C">
        <w:rPr>
          <w:rFonts w:ascii="Century Schoolbook" w:hAnsi="Century Schoolbook" w:cs="Times New Roman"/>
          <w:sz w:val="24"/>
          <w:szCs w:val="24"/>
        </w:rPr>
        <w:t xml:space="preserve">the </w:t>
      </w:r>
      <w:r w:rsidR="00E77B92" w:rsidRPr="006C6879">
        <w:rPr>
          <w:rFonts w:ascii="Century Schoolbook" w:hAnsi="Century Schoolbook" w:cs="Times New Roman"/>
          <w:sz w:val="24"/>
          <w:szCs w:val="24"/>
        </w:rPr>
        <w:t>Constitutional Court.</w:t>
      </w:r>
      <w:r w:rsidR="00B40A92" w:rsidRPr="006C6879">
        <w:rPr>
          <w:rStyle w:val="FootnoteReference"/>
          <w:rFonts w:ascii="Century Schoolbook" w:hAnsi="Century Schoolbook" w:cs="Times New Roman"/>
          <w:sz w:val="24"/>
          <w:szCs w:val="24"/>
        </w:rPr>
        <w:footnoteReference w:id="81"/>
      </w:r>
    </w:p>
    <w:p w:rsidR="00E77B92" w:rsidRPr="006C6879" w:rsidRDefault="00E77B92" w:rsidP="00AB4F86">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LASA’s current Strategic Plan 2015–20 puts a point on it:</w:t>
      </w:r>
    </w:p>
    <w:p w:rsidR="00E77B92" w:rsidRPr="006C6879" w:rsidRDefault="00E77B92" w:rsidP="00E77B92">
      <w:pPr>
        <w:tabs>
          <w:tab w:val="left" w:pos="709"/>
        </w:tabs>
        <w:spacing w:line="360" w:lineRule="auto"/>
        <w:ind w:left="720"/>
        <w:rPr>
          <w:rFonts w:ascii="Century Schoolbook" w:hAnsi="Century Schoolbook" w:cs="Times New Roman"/>
          <w:sz w:val="24"/>
          <w:szCs w:val="24"/>
        </w:rPr>
      </w:pPr>
      <w:r w:rsidRPr="006C6879">
        <w:rPr>
          <w:rFonts w:ascii="Century Schoolbook" w:hAnsi="Century Schoolbook" w:cs="Times New Roman"/>
          <w:sz w:val="24"/>
          <w:szCs w:val="24"/>
        </w:rPr>
        <w:t>To give content to the Constitution through impact litigation – which is able to address Constitutional rights and socio-economic rights and develop jurisprudence on social justice matters.</w:t>
      </w:r>
      <w:r w:rsidRPr="006C6879">
        <w:rPr>
          <w:rStyle w:val="FootnoteReference"/>
          <w:rFonts w:ascii="Century Schoolbook" w:hAnsi="Century Schoolbook" w:cs="Times New Roman"/>
          <w:sz w:val="24"/>
          <w:szCs w:val="24"/>
        </w:rPr>
        <w:footnoteReference w:id="82"/>
      </w:r>
      <w:r w:rsidRPr="006C6879">
        <w:rPr>
          <w:rFonts w:ascii="Century Schoolbook" w:hAnsi="Century Schoolbook" w:cs="Times New Roman"/>
          <w:sz w:val="24"/>
          <w:szCs w:val="24"/>
        </w:rPr>
        <w:t xml:space="preserve"> </w:t>
      </w:r>
    </w:p>
    <w:p w:rsidR="00EA4519" w:rsidRPr="006C6879" w:rsidRDefault="00EA4519" w:rsidP="00EA451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LASA’s </w:t>
      </w:r>
      <w:r w:rsidR="00A57FA7" w:rsidRPr="006C6879">
        <w:rPr>
          <w:rFonts w:ascii="Century Schoolbook" w:hAnsi="Century Schoolbook" w:cs="Times New Roman"/>
          <w:sz w:val="24"/>
          <w:szCs w:val="24"/>
        </w:rPr>
        <w:t xml:space="preserve">several </w:t>
      </w:r>
      <w:r w:rsidRPr="006C6879">
        <w:rPr>
          <w:rFonts w:ascii="Century Schoolbook" w:hAnsi="Century Schoolbook" w:cs="Times New Roman"/>
          <w:sz w:val="24"/>
          <w:szCs w:val="24"/>
        </w:rPr>
        <w:t xml:space="preserve">advertisements for Senior Litigators </w:t>
      </w:r>
      <w:r w:rsidR="00A57FA7" w:rsidRPr="006C6879">
        <w:rPr>
          <w:rFonts w:ascii="Century Schoolbook" w:hAnsi="Century Schoolbook" w:cs="Times New Roman"/>
          <w:sz w:val="24"/>
          <w:szCs w:val="24"/>
        </w:rPr>
        <w:t xml:space="preserve">in the period 2007–2010 </w:t>
      </w:r>
      <w:r w:rsidRPr="006C6879">
        <w:rPr>
          <w:rFonts w:ascii="Century Schoolbook" w:hAnsi="Century Schoolbook" w:cs="Times New Roman"/>
          <w:sz w:val="24"/>
          <w:szCs w:val="24"/>
        </w:rPr>
        <w:t>precisely envisaged their conduct of such</w:t>
      </w:r>
      <w:r w:rsidR="00B60C44" w:rsidRPr="006C6879">
        <w:rPr>
          <w:rFonts w:ascii="Century Schoolbook" w:hAnsi="Century Schoolbook" w:cs="Times New Roman"/>
          <w:sz w:val="24"/>
          <w:szCs w:val="24"/>
        </w:rPr>
        <w:t xml:space="preserve"> ‘specialised, complex or impact’</w:t>
      </w:r>
      <w:r w:rsidR="00B60C44" w:rsidRPr="006C6879">
        <w:rPr>
          <w:rStyle w:val="FootnoteReference"/>
          <w:rFonts w:ascii="Century Schoolbook" w:hAnsi="Century Schoolbook" w:cs="Arial"/>
          <w:color w:val="000000" w:themeColor="text1"/>
          <w:sz w:val="24"/>
          <w:szCs w:val="24"/>
        </w:rPr>
        <w:footnoteReference w:id="83"/>
      </w:r>
      <w:r w:rsidR="00B60C44" w:rsidRPr="006C6879">
        <w:rPr>
          <w:rFonts w:ascii="Century Schoolbook" w:hAnsi="Century Schoolbook" w:cs="Times New Roman"/>
          <w:sz w:val="24"/>
          <w:szCs w:val="24"/>
        </w:rPr>
        <w:t xml:space="preserve"> litigation</w:t>
      </w:r>
      <w:r w:rsidR="00BA4352">
        <w:rPr>
          <w:rFonts w:ascii="Century Schoolbook" w:hAnsi="Century Schoolbook" w:cs="Times New Roman"/>
          <w:sz w:val="24"/>
          <w:szCs w:val="24"/>
        </w:rPr>
        <w:t>,</w:t>
      </w:r>
      <w:r w:rsidR="00363891" w:rsidRPr="006C6879">
        <w:rPr>
          <w:rFonts w:ascii="Century Schoolbook" w:hAnsi="Century Schoolbook" w:cs="Times New Roman"/>
          <w:sz w:val="24"/>
          <w:szCs w:val="24"/>
        </w:rPr>
        <w:t xml:space="preserve"> and state</w:t>
      </w:r>
      <w:r w:rsidR="00D73ED1">
        <w:rPr>
          <w:rFonts w:ascii="Century Schoolbook" w:hAnsi="Century Schoolbook" w:cs="Times New Roman"/>
          <w:sz w:val="24"/>
          <w:szCs w:val="24"/>
        </w:rPr>
        <w:t>d</w:t>
      </w:r>
      <w:r w:rsidR="00363891" w:rsidRPr="006C6879">
        <w:rPr>
          <w:rFonts w:ascii="Century Schoolbook" w:hAnsi="Century Schoolbook" w:cs="Times New Roman"/>
          <w:sz w:val="24"/>
          <w:szCs w:val="24"/>
        </w:rPr>
        <w:t xml:space="preserve"> </w:t>
      </w:r>
      <w:r w:rsidR="00A57FA7" w:rsidRPr="006C6879">
        <w:rPr>
          <w:rFonts w:ascii="Century Schoolbook" w:hAnsi="Century Schoolbook" w:cs="Times New Roman"/>
          <w:sz w:val="24"/>
          <w:szCs w:val="24"/>
        </w:rPr>
        <w:t>LASA’s</w:t>
      </w:r>
      <w:r w:rsidRPr="006C6879">
        <w:rPr>
          <w:rFonts w:ascii="Century Schoolbook" w:hAnsi="Century Schoolbook" w:cs="Times New Roman"/>
          <w:sz w:val="24"/>
          <w:szCs w:val="24"/>
        </w:rPr>
        <w:t xml:space="preserve"> </w:t>
      </w:r>
      <w:r w:rsidR="00E10ABA" w:rsidRPr="006C6879">
        <w:rPr>
          <w:rFonts w:ascii="Century Schoolbook" w:hAnsi="Century Schoolbook" w:cs="Times New Roman"/>
          <w:sz w:val="24"/>
          <w:szCs w:val="24"/>
        </w:rPr>
        <w:t>aim</w:t>
      </w:r>
      <w:r w:rsidRPr="006C6879">
        <w:rPr>
          <w:rFonts w:ascii="Century Schoolbook" w:hAnsi="Century Schoolbook" w:cs="Times New Roman"/>
          <w:sz w:val="24"/>
          <w:szCs w:val="24"/>
        </w:rPr>
        <w:t xml:space="preserve"> </w:t>
      </w:r>
      <w:r w:rsidRPr="006C6879">
        <w:rPr>
          <w:rFonts w:ascii="Century Schoolbook" w:hAnsi="Century Schoolbook" w:cs="Arial"/>
          <w:color w:val="000000" w:themeColor="text1"/>
          <w:sz w:val="24"/>
          <w:szCs w:val="24"/>
        </w:rPr>
        <w:t>to ‘Develop the litigation expertise within the LAB by providing individual mentoring and coaching to legal staff’, that is, to ‘provide support for practitioners in more complex matters’,</w:t>
      </w:r>
      <w:r w:rsidR="00A57FA7" w:rsidRPr="006C6879">
        <w:rPr>
          <w:rStyle w:val="FootnoteReference"/>
          <w:rFonts w:ascii="Century Schoolbook" w:hAnsi="Century Schoolbook" w:cs="Arial"/>
          <w:color w:val="000000" w:themeColor="text1"/>
          <w:sz w:val="24"/>
          <w:szCs w:val="24"/>
        </w:rPr>
        <w:footnoteReference w:id="84"/>
      </w:r>
      <w:r w:rsidRPr="006C6879">
        <w:rPr>
          <w:rStyle w:val="FootnoteReference"/>
          <w:rFonts w:ascii="Century Schoolbook" w:hAnsi="Century Schoolbook" w:cs="Arial"/>
          <w:color w:val="000000" w:themeColor="text1"/>
          <w:sz w:val="24"/>
          <w:szCs w:val="24"/>
        </w:rPr>
        <w:t xml:space="preserve"> </w:t>
      </w:r>
      <w:r w:rsidRPr="006C6879">
        <w:rPr>
          <w:rFonts w:ascii="Century Schoolbook" w:hAnsi="Century Schoolbook" w:cs="Arial"/>
          <w:color w:val="000000" w:themeColor="text1"/>
          <w:sz w:val="24"/>
          <w:szCs w:val="24"/>
        </w:rPr>
        <w:t>as LASA’s annual report for 2009/10 puts it</w:t>
      </w:r>
      <w:r w:rsidR="00363891" w:rsidRPr="006C6879">
        <w:rPr>
          <w:rFonts w:ascii="Century Schoolbook" w:hAnsi="Century Schoolbook" w:cs="Arial"/>
          <w:color w:val="000000" w:themeColor="text1"/>
          <w:sz w:val="24"/>
          <w:szCs w:val="24"/>
        </w:rPr>
        <w:t>,</w:t>
      </w:r>
      <w:r w:rsidRPr="006C6879">
        <w:rPr>
          <w:rFonts w:ascii="Century Schoolbook" w:hAnsi="Century Schoolbook" w:cs="Arial"/>
          <w:color w:val="000000" w:themeColor="text1"/>
          <w:sz w:val="24"/>
          <w:szCs w:val="24"/>
        </w:rPr>
        <w:t xml:space="preserve"> and</w:t>
      </w:r>
      <w:r w:rsidR="00276140">
        <w:rPr>
          <w:rFonts w:ascii="Century Schoolbook" w:hAnsi="Century Schoolbook" w:cs="Arial"/>
          <w:color w:val="000000" w:themeColor="text1"/>
          <w:sz w:val="24"/>
          <w:szCs w:val="24"/>
        </w:rPr>
        <w:t>, as announced in a press release in March 2012,</w:t>
      </w:r>
      <w:r w:rsidRPr="006C6879">
        <w:rPr>
          <w:rFonts w:ascii="Century Schoolbook" w:hAnsi="Century Schoolbook" w:cs="Arial"/>
          <w:color w:val="000000" w:themeColor="text1"/>
          <w:sz w:val="24"/>
          <w:szCs w:val="24"/>
        </w:rPr>
        <w:t xml:space="preserve"> for ‘protecting the rights of women and children’ in accordance with </w:t>
      </w:r>
      <w:r w:rsidR="005A6AF9">
        <w:rPr>
          <w:rFonts w:ascii="Century Schoolbook" w:hAnsi="Century Schoolbook" w:cs="Arial"/>
          <w:color w:val="000000" w:themeColor="text1"/>
          <w:sz w:val="24"/>
          <w:szCs w:val="24"/>
        </w:rPr>
        <w:t>LASA</w:t>
      </w:r>
      <w:r w:rsidRPr="006C6879">
        <w:rPr>
          <w:rFonts w:ascii="Century Schoolbook" w:hAnsi="Century Schoolbook" w:cs="Arial"/>
          <w:color w:val="000000" w:themeColor="text1"/>
          <w:sz w:val="24"/>
          <w:szCs w:val="24"/>
        </w:rPr>
        <w:t>’s, ‘vision as an organisation … for the implementation of a child</w:t>
      </w:r>
      <w:r w:rsidR="006D1928">
        <w:rPr>
          <w:rFonts w:ascii="Century Schoolbook" w:hAnsi="Century Schoolbook" w:cs="Arial"/>
          <w:color w:val="000000" w:themeColor="text1"/>
          <w:sz w:val="24"/>
          <w:szCs w:val="24"/>
        </w:rPr>
        <w:t>-</w:t>
      </w:r>
      <w:r w:rsidRPr="006C6879">
        <w:rPr>
          <w:rFonts w:ascii="Century Schoolbook" w:hAnsi="Century Schoolbook" w:cs="Arial"/>
          <w:color w:val="000000" w:themeColor="text1"/>
          <w:sz w:val="24"/>
          <w:szCs w:val="24"/>
        </w:rPr>
        <w:t>centred justice strategy that ensures the best interests of the child in all legal matters</w:t>
      </w:r>
      <w:r w:rsidR="00D76EDB" w:rsidRPr="006C6879">
        <w:rPr>
          <w:rFonts w:ascii="Century Schoolbook" w:hAnsi="Century Schoolbook" w:cs="Arial"/>
          <w:color w:val="000000" w:themeColor="text1"/>
          <w:sz w:val="24"/>
          <w:szCs w:val="24"/>
        </w:rPr>
        <w:t>. …</w:t>
      </w:r>
      <w:r w:rsidR="00D73ED1">
        <w:rPr>
          <w:rFonts w:ascii="Century Schoolbook" w:hAnsi="Century Schoolbook" w:cs="Arial"/>
          <w:color w:val="000000" w:themeColor="text1"/>
          <w:sz w:val="24"/>
          <w:szCs w:val="24"/>
        </w:rPr>
        <w:t xml:space="preserve"> </w:t>
      </w:r>
      <w:r w:rsidRPr="006C6879">
        <w:rPr>
          <w:rFonts w:ascii="Century Schoolbook" w:hAnsi="Century Schoolbook" w:cs="Arial"/>
          <w:color w:val="000000" w:themeColor="text1"/>
          <w:sz w:val="24"/>
          <w:szCs w:val="24"/>
        </w:rPr>
        <w:t>In very complex matters, our Senior Litigators provide support and advice to practitioners that need it.’</w:t>
      </w:r>
      <w:r w:rsidRPr="006C6879">
        <w:rPr>
          <w:rStyle w:val="FootnoteReference"/>
          <w:rFonts w:ascii="Century Schoolbook" w:hAnsi="Century Schoolbook" w:cs="Arial"/>
          <w:color w:val="000000" w:themeColor="text1"/>
          <w:sz w:val="24"/>
          <w:szCs w:val="24"/>
        </w:rPr>
        <w:footnoteReference w:id="85"/>
      </w:r>
    </w:p>
    <w:p w:rsidR="00D83042" w:rsidRPr="006C6879" w:rsidRDefault="00E77B92" w:rsidP="00D8304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In their Foreword to </w:t>
      </w:r>
      <w:r w:rsidR="00EA4519" w:rsidRPr="006C6879">
        <w:rPr>
          <w:rFonts w:ascii="Century Schoolbook" w:hAnsi="Century Schoolbook" w:cs="Times New Roman"/>
          <w:sz w:val="24"/>
          <w:szCs w:val="24"/>
        </w:rPr>
        <w:t>LASA’s</w:t>
      </w:r>
      <w:r w:rsidRPr="006C6879">
        <w:rPr>
          <w:rFonts w:ascii="Century Schoolbook" w:hAnsi="Century Schoolbook" w:cs="Times New Roman"/>
          <w:sz w:val="24"/>
          <w:szCs w:val="24"/>
        </w:rPr>
        <w:t xml:space="preserve"> current </w:t>
      </w:r>
      <w:r w:rsidR="00EA4519" w:rsidRPr="006C6879">
        <w:rPr>
          <w:rFonts w:ascii="Century Schoolbook" w:hAnsi="Century Schoolbook" w:cs="Times New Roman"/>
          <w:sz w:val="24"/>
          <w:szCs w:val="24"/>
        </w:rPr>
        <w:t>Strategic Plan</w:t>
      </w:r>
      <w:r w:rsidR="00E10ABA" w:rsidRPr="006C6879">
        <w:rPr>
          <w:rFonts w:ascii="Century Schoolbook" w:hAnsi="Century Schoolbook" w:cs="Times New Roman"/>
          <w:sz w:val="24"/>
          <w:szCs w:val="24"/>
        </w:rPr>
        <w:t xml:space="preserve"> 2015–20</w:t>
      </w:r>
      <w:r w:rsidRPr="006C6879">
        <w:rPr>
          <w:rFonts w:ascii="Century Schoolbook" w:hAnsi="Century Schoolbook" w:cs="Times New Roman"/>
          <w:sz w:val="24"/>
          <w:szCs w:val="24"/>
        </w:rPr>
        <w:t>, Mlambo JP and Vedalankar likewise emphasi</w:t>
      </w:r>
      <w:r w:rsidR="00762D1B">
        <w:rPr>
          <w:rFonts w:ascii="Century Schoolbook" w:hAnsi="Century Schoolbook" w:cs="Times New Roman"/>
          <w:sz w:val="24"/>
          <w:szCs w:val="24"/>
        </w:rPr>
        <w:t>s</w:t>
      </w:r>
      <w:r w:rsidRPr="006C6879">
        <w:rPr>
          <w:rFonts w:ascii="Century Schoolbook" w:hAnsi="Century Schoolbook" w:cs="Times New Roman"/>
          <w:sz w:val="24"/>
          <w:szCs w:val="24"/>
        </w:rPr>
        <w:t>e</w:t>
      </w:r>
      <w:r w:rsidR="00D73ED1">
        <w:rPr>
          <w:rFonts w:ascii="Century Schoolbook" w:hAnsi="Century Schoolbook" w:cs="Times New Roman"/>
          <w:sz w:val="24"/>
          <w:szCs w:val="24"/>
        </w:rPr>
        <w:t>d</w:t>
      </w:r>
      <w:r w:rsidRPr="006C6879">
        <w:rPr>
          <w:rFonts w:ascii="Century Schoolbook" w:hAnsi="Century Schoolbook" w:cs="Times New Roman"/>
          <w:sz w:val="24"/>
          <w:szCs w:val="24"/>
        </w:rPr>
        <w:t xml:space="preserve"> ‘Priority to civil legal aid assistance in Constitutional rights related matters’</w:t>
      </w:r>
      <w:r w:rsidRPr="006C6879">
        <w:rPr>
          <w:rStyle w:val="FootnoteReference"/>
          <w:rFonts w:ascii="Century Schoolbook" w:hAnsi="Century Schoolbook" w:cs="Times New Roman"/>
          <w:sz w:val="24"/>
          <w:szCs w:val="24"/>
        </w:rPr>
        <w:footnoteReference w:id="86"/>
      </w:r>
      <w:r w:rsidR="00EF57FB" w:rsidRPr="006C6879">
        <w:rPr>
          <w:rFonts w:ascii="Century Schoolbook" w:hAnsi="Century Schoolbook" w:cs="Times New Roman"/>
          <w:sz w:val="24"/>
          <w:szCs w:val="24"/>
        </w:rPr>
        <w:t xml:space="preserve"> </w:t>
      </w:r>
      <w:r w:rsidR="000F05CB">
        <w:rPr>
          <w:rFonts w:ascii="Century Schoolbook" w:hAnsi="Century Schoolbook" w:cs="Times New Roman"/>
          <w:sz w:val="24"/>
          <w:szCs w:val="24"/>
        </w:rPr>
        <w:t xml:space="preserve">– </w:t>
      </w:r>
      <w:r w:rsidR="00C0780F">
        <w:rPr>
          <w:rFonts w:ascii="Century Schoolbook" w:hAnsi="Century Schoolbook" w:cs="Times New Roman"/>
          <w:sz w:val="24"/>
          <w:szCs w:val="24"/>
        </w:rPr>
        <w:t xml:space="preserve">exactly </w:t>
      </w:r>
      <w:r w:rsidR="00EF57FB" w:rsidRPr="006C6879">
        <w:rPr>
          <w:rFonts w:ascii="Century Schoolbook" w:hAnsi="Century Schoolbook" w:cs="Times New Roman"/>
          <w:sz w:val="24"/>
          <w:szCs w:val="24"/>
        </w:rPr>
        <w:t>the province of ‘professional staff that are senior enough to take on … cases of a highly complex nature’, namely ‘senior litigators … able to undertake more complex work’</w:t>
      </w:r>
      <w:r w:rsidR="00EF57FB" w:rsidRPr="006C6879">
        <w:rPr>
          <w:rStyle w:val="FootnoteReference"/>
          <w:rFonts w:ascii="Century Schoolbook" w:hAnsi="Century Schoolbook" w:cs="Times New Roman"/>
          <w:sz w:val="24"/>
          <w:szCs w:val="24"/>
        </w:rPr>
        <w:footnoteReference w:id="87"/>
      </w:r>
      <w:r w:rsidR="00EF57FB" w:rsidRPr="006C6879">
        <w:rPr>
          <w:rFonts w:ascii="Century Schoolbook" w:hAnsi="Century Schoolbook" w:cs="Times New Roman"/>
          <w:sz w:val="24"/>
          <w:szCs w:val="24"/>
        </w:rPr>
        <w:t xml:space="preserve"> as </w:t>
      </w:r>
      <w:r w:rsidR="009543BA" w:rsidRPr="006C6879">
        <w:rPr>
          <w:rFonts w:ascii="Century Schoolbook" w:hAnsi="Century Schoolbook" w:cs="Times New Roman"/>
          <w:sz w:val="24"/>
          <w:szCs w:val="24"/>
        </w:rPr>
        <w:t xml:space="preserve">Vedalankar </w:t>
      </w:r>
      <w:r w:rsidR="009543BA">
        <w:rPr>
          <w:rFonts w:ascii="Century Schoolbook" w:hAnsi="Century Schoolbook" w:cs="Times New Roman"/>
          <w:sz w:val="24"/>
          <w:szCs w:val="24"/>
        </w:rPr>
        <w:t xml:space="preserve">and her executive management colleagues </w:t>
      </w:r>
      <w:r w:rsidR="00D73ED1">
        <w:rPr>
          <w:rFonts w:ascii="Century Schoolbook" w:hAnsi="Century Schoolbook" w:cs="Times New Roman"/>
          <w:sz w:val="24"/>
          <w:szCs w:val="24"/>
        </w:rPr>
        <w:t>envisag</w:t>
      </w:r>
      <w:r w:rsidR="00EF57FB" w:rsidRPr="006C6879">
        <w:rPr>
          <w:rFonts w:ascii="Century Schoolbook" w:hAnsi="Century Schoolbook" w:cs="Times New Roman"/>
          <w:sz w:val="24"/>
          <w:szCs w:val="24"/>
        </w:rPr>
        <w:t>ed in the</w:t>
      </w:r>
      <w:r w:rsidR="009543BA">
        <w:rPr>
          <w:rFonts w:ascii="Century Schoolbook" w:hAnsi="Century Schoolbook" w:cs="Times New Roman"/>
          <w:sz w:val="24"/>
          <w:szCs w:val="24"/>
        </w:rPr>
        <w:t>ir</w:t>
      </w:r>
      <w:r w:rsidR="00EF57FB" w:rsidRPr="006C6879">
        <w:rPr>
          <w:rFonts w:ascii="Century Schoolbook" w:hAnsi="Century Schoolbook" w:cs="Times New Roman"/>
          <w:sz w:val="24"/>
          <w:szCs w:val="24"/>
        </w:rPr>
        <w:t xml:space="preserve"> motivation for the creation of the nine Senior Litigation posts, </w:t>
      </w:r>
      <w:r w:rsidR="00BA4352" w:rsidRPr="006C6879">
        <w:rPr>
          <w:rFonts w:ascii="Century Schoolbook" w:hAnsi="Century Schoolbook" w:cs="Times New Roman"/>
          <w:sz w:val="24"/>
          <w:szCs w:val="24"/>
        </w:rPr>
        <w:t>approved</w:t>
      </w:r>
      <w:r w:rsidR="00BA4352">
        <w:rPr>
          <w:rFonts w:ascii="Century Schoolbook" w:hAnsi="Century Schoolbook" w:cs="Times New Roman"/>
          <w:sz w:val="24"/>
          <w:szCs w:val="24"/>
        </w:rPr>
        <w:t xml:space="preserve"> by </w:t>
      </w:r>
      <w:r w:rsidR="00EF57FB" w:rsidRPr="006C6879">
        <w:rPr>
          <w:rFonts w:ascii="Century Schoolbook" w:hAnsi="Century Schoolbook" w:cs="Times New Roman"/>
          <w:sz w:val="24"/>
          <w:szCs w:val="24"/>
        </w:rPr>
        <w:t xml:space="preserve">Mlambo JP </w:t>
      </w:r>
      <w:r w:rsidR="000F05CB">
        <w:rPr>
          <w:rFonts w:ascii="Century Schoolbook" w:hAnsi="Century Schoolbook" w:cs="Times New Roman"/>
          <w:sz w:val="24"/>
          <w:szCs w:val="24"/>
        </w:rPr>
        <w:t xml:space="preserve">and the </w:t>
      </w:r>
      <w:r w:rsidR="009543BA">
        <w:rPr>
          <w:rFonts w:ascii="Century Schoolbook" w:hAnsi="Century Schoolbook" w:cs="Times New Roman"/>
          <w:sz w:val="24"/>
          <w:szCs w:val="24"/>
        </w:rPr>
        <w:t xml:space="preserve">rest of the </w:t>
      </w:r>
      <w:r w:rsidR="000F05CB">
        <w:rPr>
          <w:rFonts w:ascii="Century Schoolbook" w:hAnsi="Century Schoolbook" w:cs="Times New Roman"/>
          <w:sz w:val="24"/>
          <w:szCs w:val="24"/>
        </w:rPr>
        <w:t>Board</w:t>
      </w:r>
      <w:r w:rsidR="00DB5171">
        <w:rPr>
          <w:rFonts w:ascii="Century Schoolbook" w:hAnsi="Century Schoolbook" w:cs="Times New Roman"/>
          <w:sz w:val="24"/>
          <w:szCs w:val="24"/>
        </w:rPr>
        <w:t>.</w:t>
      </w:r>
    </w:p>
    <w:p w:rsidR="00D76EDB" w:rsidRDefault="00DB5171" w:rsidP="00D8304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lastRenderedPageBreak/>
        <w:t xml:space="preserve">Quoted below, </w:t>
      </w:r>
      <w:r w:rsidR="00A94733">
        <w:rPr>
          <w:rFonts w:ascii="Century Schoolbook" w:hAnsi="Century Schoolbook" w:cs="Times New Roman"/>
          <w:sz w:val="24"/>
          <w:szCs w:val="24"/>
        </w:rPr>
        <w:t xml:space="preserve">LASA </w:t>
      </w:r>
      <w:r w:rsidR="00487AEA">
        <w:rPr>
          <w:rFonts w:ascii="Century Schoolbook" w:hAnsi="Century Schoolbook" w:cs="Times New Roman"/>
          <w:sz w:val="24"/>
          <w:szCs w:val="24"/>
        </w:rPr>
        <w:t xml:space="preserve">would </w:t>
      </w:r>
      <w:r w:rsidR="00A94733">
        <w:rPr>
          <w:rFonts w:ascii="Century Schoolbook" w:hAnsi="Century Schoolbook" w:cs="Times New Roman"/>
          <w:sz w:val="24"/>
          <w:szCs w:val="24"/>
        </w:rPr>
        <w:t>r</w:t>
      </w:r>
      <w:r w:rsidR="00A94733" w:rsidRPr="006C6879">
        <w:rPr>
          <w:rFonts w:ascii="Century Schoolbook" w:hAnsi="Century Schoolbook" w:cs="Times New Roman"/>
          <w:sz w:val="24"/>
          <w:szCs w:val="24"/>
        </w:rPr>
        <w:t>epeatedly vaunt the employment of Senior Litigators</w:t>
      </w:r>
      <w:r w:rsidR="00A94733">
        <w:rPr>
          <w:rFonts w:ascii="Century Schoolbook" w:hAnsi="Century Schoolbook" w:cs="Times New Roman"/>
          <w:sz w:val="24"/>
          <w:szCs w:val="24"/>
        </w:rPr>
        <w:t xml:space="preserve"> as a </w:t>
      </w:r>
      <w:r w:rsidR="00487AEA">
        <w:rPr>
          <w:rFonts w:ascii="Century Schoolbook" w:hAnsi="Century Schoolbook" w:cs="Times New Roman"/>
          <w:sz w:val="24"/>
          <w:szCs w:val="24"/>
        </w:rPr>
        <w:t xml:space="preserve">key </w:t>
      </w:r>
      <w:r w:rsidR="00A94733">
        <w:rPr>
          <w:rFonts w:ascii="Century Schoolbook" w:hAnsi="Century Schoolbook" w:cs="Times New Roman"/>
          <w:sz w:val="24"/>
          <w:szCs w:val="24"/>
        </w:rPr>
        <w:t xml:space="preserve">achievement in its </w:t>
      </w:r>
      <w:r w:rsidRPr="006C6879">
        <w:rPr>
          <w:rFonts w:ascii="Century Schoolbook" w:hAnsi="Century Schoolbook" w:cs="Calibri"/>
          <w:color w:val="000000" w:themeColor="text1"/>
          <w:sz w:val="24"/>
          <w:szCs w:val="24"/>
        </w:rPr>
        <w:t xml:space="preserve">‘Report on </w:t>
      </w:r>
      <w:r w:rsidR="005A31DA">
        <w:rPr>
          <w:rFonts w:ascii="Century Schoolbook" w:hAnsi="Century Schoolbook" w:cs="Calibri"/>
          <w:color w:val="000000" w:themeColor="text1"/>
          <w:sz w:val="24"/>
          <w:szCs w:val="24"/>
        </w:rPr>
        <w:t>C</w:t>
      </w:r>
      <w:r w:rsidRPr="006C6879">
        <w:rPr>
          <w:rFonts w:ascii="Century Schoolbook" w:hAnsi="Century Schoolbook" w:cs="Calibri"/>
          <w:color w:val="000000" w:themeColor="text1"/>
          <w:sz w:val="24"/>
          <w:szCs w:val="24"/>
        </w:rPr>
        <w:t>ompletion of Strategic Plan 2009–2012’</w:t>
      </w:r>
      <w:r w:rsidR="008B742D">
        <w:rPr>
          <w:rFonts w:ascii="Century Schoolbook" w:hAnsi="Century Schoolbook" w:cs="Calibri"/>
          <w:color w:val="000000" w:themeColor="text1"/>
          <w:sz w:val="24"/>
          <w:szCs w:val="24"/>
        </w:rPr>
        <w:t xml:space="preserve">, both </w:t>
      </w:r>
      <w:r>
        <w:rPr>
          <w:rFonts w:ascii="Century Schoolbook" w:hAnsi="Century Schoolbook" w:cs="Calibri"/>
          <w:color w:val="000000" w:themeColor="text1"/>
          <w:sz w:val="24"/>
          <w:szCs w:val="24"/>
        </w:rPr>
        <w:t xml:space="preserve">in </w:t>
      </w:r>
      <w:r w:rsidR="00EA386A">
        <w:rPr>
          <w:rFonts w:ascii="Century Schoolbook" w:hAnsi="Century Schoolbook" w:cs="Times New Roman"/>
          <w:sz w:val="24"/>
          <w:szCs w:val="24"/>
        </w:rPr>
        <w:t>the Board’s</w:t>
      </w:r>
      <w:r w:rsidR="00D76EDB" w:rsidRPr="006C6879">
        <w:rPr>
          <w:rFonts w:ascii="Century Schoolbook" w:hAnsi="Century Schoolbook" w:cs="Times New Roman"/>
          <w:sz w:val="24"/>
          <w:szCs w:val="24"/>
        </w:rPr>
        <w:t xml:space="preserve"> </w:t>
      </w:r>
      <w:r>
        <w:rPr>
          <w:rFonts w:ascii="Century Schoolbook" w:hAnsi="Century Schoolbook" w:cs="Times New Roman"/>
          <w:sz w:val="24"/>
          <w:szCs w:val="24"/>
        </w:rPr>
        <w:t>‘</w:t>
      </w:r>
      <w:r w:rsidRPr="006C6879">
        <w:rPr>
          <w:rFonts w:ascii="Century Schoolbook" w:hAnsi="Century Schoolbook" w:cs="Calibri"/>
          <w:color w:val="000000" w:themeColor="text1"/>
          <w:sz w:val="24"/>
          <w:szCs w:val="24"/>
        </w:rPr>
        <w:t>Annual Performance Report 2011–12</w:t>
      </w:r>
      <w:r>
        <w:rPr>
          <w:rFonts w:ascii="Century Schoolbook" w:hAnsi="Century Schoolbook" w:cs="Calibri"/>
          <w:color w:val="000000" w:themeColor="text1"/>
          <w:sz w:val="24"/>
          <w:szCs w:val="24"/>
        </w:rPr>
        <w:t xml:space="preserve">’ </w:t>
      </w:r>
      <w:r w:rsidR="00D76EDB" w:rsidRPr="006C6879">
        <w:rPr>
          <w:rFonts w:ascii="Century Schoolbook" w:hAnsi="Century Schoolbook" w:cs="Times New Roman"/>
          <w:sz w:val="24"/>
          <w:szCs w:val="24"/>
        </w:rPr>
        <w:t xml:space="preserve">and </w:t>
      </w:r>
      <w:r w:rsidR="00A94733">
        <w:rPr>
          <w:rFonts w:ascii="Century Schoolbook" w:hAnsi="Century Schoolbook" w:cs="Times New Roman"/>
          <w:sz w:val="24"/>
          <w:szCs w:val="24"/>
        </w:rPr>
        <w:t xml:space="preserve">in </w:t>
      </w:r>
      <w:r w:rsidR="00D76EDB" w:rsidRPr="006C6879">
        <w:rPr>
          <w:rFonts w:ascii="Century Schoolbook" w:hAnsi="Century Schoolbook" w:cs="Times New Roman"/>
          <w:sz w:val="24"/>
          <w:szCs w:val="24"/>
        </w:rPr>
        <w:t xml:space="preserve">Vedalankar’s CEO report for </w:t>
      </w:r>
      <w:r w:rsidR="00C35CAB">
        <w:rPr>
          <w:rFonts w:ascii="Century Schoolbook" w:hAnsi="Century Schoolbook" w:cs="Times New Roman"/>
          <w:sz w:val="24"/>
          <w:szCs w:val="24"/>
        </w:rPr>
        <w:t>that year</w:t>
      </w:r>
      <w:r w:rsidR="00A94733">
        <w:rPr>
          <w:rFonts w:ascii="Century Schoolbook" w:hAnsi="Century Schoolbook" w:cs="Times New Roman"/>
          <w:sz w:val="24"/>
          <w:szCs w:val="24"/>
        </w:rPr>
        <w:t>.</w:t>
      </w:r>
    </w:p>
    <w:p w:rsidR="00F4624B" w:rsidRPr="006C6879" w:rsidRDefault="00F4624B" w:rsidP="00F4624B">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6C6879">
        <w:rPr>
          <w:rFonts w:ascii="Century Schoolbook" w:hAnsi="Century Schoolbook" w:cs="Times New Roman"/>
          <w:b/>
          <w:sz w:val="24"/>
          <w:szCs w:val="24"/>
        </w:rPr>
        <w:t xml:space="preserve">THE CONCEALED </w:t>
      </w:r>
      <w:r w:rsidR="002B45DF" w:rsidRPr="006C6879">
        <w:rPr>
          <w:rFonts w:ascii="Century Schoolbook" w:hAnsi="Century Schoolbook" w:cs="Times New Roman"/>
          <w:b/>
          <w:sz w:val="24"/>
          <w:szCs w:val="24"/>
        </w:rPr>
        <w:t xml:space="preserve">ILLEGAL </w:t>
      </w:r>
      <w:r w:rsidRPr="006C6879">
        <w:rPr>
          <w:rFonts w:ascii="Century Schoolbook" w:hAnsi="Century Schoolbook" w:cs="Times New Roman"/>
          <w:b/>
          <w:sz w:val="24"/>
          <w:szCs w:val="24"/>
        </w:rPr>
        <w:t xml:space="preserve">ABORTION OF LASA’S STRATEGIC PLAN 2009–12 </w:t>
      </w:r>
      <w:r w:rsidR="003E3203">
        <w:rPr>
          <w:rFonts w:ascii="Century Schoolbook" w:hAnsi="Century Schoolbook" w:cs="Times New Roman"/>
          <w:b/>
          <w:sz w:val="24"/>
          <w:szCs w:val="24"/>
        </w:rPr>
        <w:t>IN REGARD TO</w:t>
      </w:r>
      <w:r w:rsidR="00487AEA">
        <w:rPr>
          <w:rFonts w:ascii="Century Schoolbook" w:hAnsi="Century Schoolbook" w:cs="Times New Roman"/>
          <w:b/>
          <w:sz w:val="24"/>
          <w:szCs w:val="24"/>
        </w:rPr>
        <w:t xml:space="preserve"> </w:t>
      </w:r>
      <w:r w:rsidRPr="006C6879">
        <w:rPr>
          <w:rFonts w:ascii="Century Schoolbook" w:hAnsi="Century Schoolbook" w:cs="Times New Roman"/>
          <w:b/>
          <w:sz w:val="24"/>
          <w:szCs w:val="24"/>
        </w:rPr>
        <w:t>THE EMPLOYMENT OF SENIOR LITIGATORS</w:t>
      </w:r>
      <w:r w:rsidR="005A31DA" w:rsidRPr="005A31DA">
        <w:rPr>
          <w:rFonts w:ascii="Century Schoolbook" w:hAnsi="Century Schoolbook" w:cs="Times New Roman"/>
          <w:b/>
          <w:sz w:val="24"/>
          <w:szCs w:val="24"/>
        </w:rPr>
        <w:t xml:space="preserve"> </w:t>
      </w:r>
      <w:r w:rsidR="005A31DA" w:rsidRPr="006C6879">
        <w:rPr>
          <w:rFonts w:ascii="Century Schoolbook" w:hAnsi="Century Schoolbook" w:cs="Times New Roman"/>
          <w:b/>
          <w:sz w:val="24"/>
          <w:szCs w:val="24"/>
        </w:rPr>
        <w:t>BEFORE IT WAS COMPLETED</w:t>
      </w:r>
      <w:r w:rsidR="002E3015">
        <w:rPr>
          <w:rFonts w:ascii="Century Schoolbook" w:hAnsi="Century Schoolbook" w:cs="Times New Roman"/>
          <w:b/>
          <w:sz w:val="24"/>
          <w:szCs w:val="24"/>
        </w:rPr>
        <w:t>,</w:t>
      </w:r>
      <w:r w:rsidRPr="006C6879">
        <w:rPr>
          <w:rFonts w:ascii="Century Schoolbook" w:hAnsi="Century Schoolbook" w:cs="Times New Roman"/>
          <w:b/>
          <w:sz w:val="24"/>
          <w:szCs w:val="24"/>
        </w:rPr>
        <w:t xml:space="preserve"> </w:t>
      </w:r>
      <w:r w:rsidR="00C35CAB">
        <w:rPr>
          <w:rFonts w:ascii="Century Schoolbook" w:hAnsi="Century Schoolbook" w:cs="Times New Roman"/>
          <w:b/>
          <w:sz w:val="24"/>
          <w:szCs w:val="24"/>
        </w:rPr>
        <w:t xml:space="preserve">UNLAWFULLY </w:t>
      </w:r>
      <w:r w:rsidR="002E3015" w:rsidRPr="002E3015">
        <w:rPr>
          <w:rFonts w:ascii="Century Schoolbook" w:hAnsi="Century Schoolbook" w:cs="Times New Roman"/>
          <w:b/>
          <w:sz w:val="24"/>
          <w:szCs w:val="24"/>
        </w:rPr>
        <w:t xml:space="preserve">LEAVING A THIRD OF THESE CRITICAL </w:t>
      </w:r>
      <w:r w:rsidR="00C35CAB">
        <w:rPr>
          <w:rFonts w:ascii="Century Schoolbook" w:hAnsi="Century Schoolbook" w:cs="Times New Roman"/>
          <w:b/>
          <w:sz w:val="24"/>
          <w:szCs w:val="24"/>
        </w:rPr>
        <w:t xml:space="preserve">BUDGETED AND FUNDED </w:t>
      </w:r>
      <w:r w:rsidR="002E3015" w:rsidRPr="002E3015">
        <w:rPr>
          <w:rFonts w:ascii="Century Schoolbook" w:hAnsi="Century Schoolbook" w:cs="Times New Roman"/>
          <w:b/>
          <w:sz w:val="24"/>
          <w:szCs w:val="24"/>
        </w:rPr>
        <w:t>POSTS VACANT</w:t>
      </w:r>
      <w:r w:rsidR="00940367">
        <w:rPr>
          <w:rFonts w:ascii="Century Schoolbook" w:hAnsi="Century Schoolbook" w:cs="Times New Roman"/>
          <w:b/>
          <w:sz w:val="24"/>
          <w:szCs w:val="24"/>
        </w:rPr>
        <w:t>,</w:t>
      </w:r>
      <w:r w:rsidR="00C35CAB">
        <w:rPr>
          <w:rFonts w:ascii="Century Schoolbook" w:hAnsi="Century Schoolbook" w:cs="Times New Roman"/>
          <w:b/>
          <w:sz w:val="24"/>
          <w:szCs w:val="24"/>
        </w:rPr>
        <w:t xml:space="preserve"> IN </w:t>
      </w:r>
      <w:r w:rsidR="004A6142">
        <w:rPr>
          <w:rFonts w:ascii="Century Schoolbook" w:hAnsi="Century Schoolbook" w:cs="Times New Roman"/>
          <w:b/>
          <w:sz w:val="24"/>
          <w:szCs w:val="24"/>
        </w:rPr>
        <w:t>CONTRAVENTION</w:t>
      </w:r>
      <w:r w:rsidR="00C35CAB">
        <w:rPr>
          <w:rFonts w:ascii="Century Schoolbook" w:hAnsi="Century Schoolbook" w:cs="Times New Roman"/>
          <w:b/>
          <w:sz w:val="24"/>
          <w:szCs w:val="24"/>
        </w:rPr>
        <w:t xml:space="preserve"> OF THE PFMA, </w:t>
      </w:r>
      <w:r w:rsidR="00DF1E71">
        <w:rPr>
          <w:rFonts w:ascii="Century Schoolbook" w:hAnsi="Century Schoolbook" w:cs="Times New Roman"/>
          <w:b/>
          <w:sz w:val="24"/>
          <w:szCs w:val="24"/>
        </w:rPr>
        <w:t xml:space="preserve">AS </w:t>
      </w:r>
      <w:r w:rsidR="00940367" w:rsidRPr="00C35CAB">
        <w:rPr>
          <w:rFonts w:ascii="Century Schoolbook" w:hAnsi="Century Schoolbook" w:cs="Times New Roman"/>
          <w:b/>
          <w:sz w:val="24"/>
          <w:szCs w:val="24"/>
        </w:rPr>
        <w:t>THE CONSTITUTIONAL COURT</w:t>
      </w:r>
      <w:r w:rsidR="004A6142">
        <w:rPr>
          <w:rFonts w:ascii="Century Schoolbook" w:hAnsi="Century Schoolbook" w:cs="Times New Roman"/>
          <w:b/>
          <w:sz w:val="24"/>
          <w:szCs w:val="24"/>
        </w:rPr>
        <w:t xml:space="preserve"> </w:t>
      </w:r>
      <w:r w:rsidR="00BA4352">
        <w:rPr>
          <w:rFonts w:ascii="Century Schoolbook" w:hAnsi="Century Schoolbook" w:cs="Times New Roman"/>
          <w:b/>
          <w:sz w:val="24"/>
          <w:szCs w:val="24"/>
        </w:rPr>
        <w:t>HAS NOTED</w:t>
      </w:r>
    </w:p>
    <w:p w:rsidR="00D83042" w:rsidRPr="00395B00" w:rsidRDefault="00E4447C" w:rsidP="00F4624B">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395B00">
        <w:rPr>
          <w:rFonts w:ascii="Century Schoolbook" w:hAnsi="Century Schoolbook" w:cs="Times New Roman"/>
          <w:sz w:val="24"/>
          <w:szCs w:val="24"/>
        </w:rPr>
        <w:t>In October 2007</w:t>
      </w:r>
      <w:r w:rsidR="00F4624B" w:rsidRPr="00395B00">
        <w:rPr>
          <w:rFonts w:ascii="Century Schoolbook" w:hAnsi="Century Schoolbook" w:cs="Times New Roman"/>
          <w:sz w:val="24"/>
          <w:szCs w:val="24"/>
        </w:rPr>
        <w:t>,</w:t>
      </w:r>
      <w:r w:rsidR="009543BA">
        <w:rPr>
          <w:rFonts w:ascii="Century Schoolbook" w:hAnsi="Century Schoolbook" w:cs="Times New Roman"/>
          <w:sz w:val="24"/>
          <w:szCs w:val="24"/>
        </w:rPr>
        <w:t xml:space="preserve"> four months after Parliament enquired whether LASA ‘employed senior litigators’,</w:t>
      </w:r>
      <w:r w:rsidR="009543BA" w:rsidRPr="006C6879">
        <w:rPr>
          <w:rStyle w:val="FootnoteReference"/>
          <w:rFonts w:ascii="Century Schoolbook" w:hAnsi="Century Schoolbook" w:cs="Times New Roman"/>
          <w:sz w:val="24"/>
          <w:szCs w:val="24"/>
        </w:rPr>
        <w:footnoteReference w:id="88"/>
      </w:r>
      <w:r w:rsidR="009543BA">
        <w:rPr>
          <w:rFonts w:ascii="Century Schoolbook" w:hAnsi="Century Schoolbook" w:cs="Times New Roman"/>
          <w:sz w:val="24"/>
          <w:szCs w:val="24"/>
        </w:rPr>
        <w:t xml:space="preserve"> </w:t>
      </w:r>
      <w:r w:rsidRPr="00395B00">
        <w:rPr>
          <w:rFonts w:ascii="Century Schoolbook" w:hAnsi="Century Schoolbook" w:cs="Times New Roman"/>
          <w:sz w:val="24"/>
          <w:szCs w:val="24"/>
        </w:rPr>
        <w:t>LASA advertised</w:t>
      </w:r>
      <w:r w:rsidR="0094701C" w:rsidRPr="00395B00">
        <w:rPr>
          <w:rFonts w:ascii="Century Schoolbook" w:hAnsi="Century Schoolbook" w:cs="Times New Roman"/>
          <w:sz w:val="24"/>
          <w:szCs w:val="24"/>
        </w:rPr>
        <w:t xml:space="preserve"> </w:t>
      </w:r>
      <w:r w:rsidR="00237D86" w:rsidRPr="00395B00">
        <w:rPr>
          <w:rFonts w:ascii="Century Schoolbook" w:hAnsi="Century Schoolbook" w:cs="Times New Roman"/>
          <w:sz w:val="24"/>
          <w:szCs w:val="24"/>
        </w:rPr>
        <w:t xml:space="preserve">to recruit </w:t>
      </w:r>
      <w:r w:rsidR="00BC0D32" w:rsidRPr="00395B00">
        <w:rPr>
          <w:rFonts w:ascii="Century Schoolbook" w:hAnsi="Century Schoolbook" w:cs="Times New Roman"/>
          <w:sz w:val="24"/>
          <w:szCs w:val="24"/>
        </w:rPr>
        <w:t xml:space="preserve">applicants for appointment to </w:t>
      </w:r>
      <w:r w:rsidRPr="00395B00">
        <w:rPr>
          <w:rFonts w:ascii="Century Schoolbook" w:hAnsi="Century Schoolbook" w:cs="Times New Roman"/>
          <w:sz w:val="24"/>
          <w:szCs w:val="24"/>
        </w:rPr>
        <w:t>its nine newly created Senior Litigator posts</w:t>
      </w:r>
      <w:r w:rsidR="00DB5171" w:rsidRPr="00395B00">
        <w:rPr>
          <w:rFonts w:ascii="Century Schoolbook" w:hAnsi="Century Schoolbook" w:cs="Times New Roman"/>
          <w:sz w:val="24"/>
          <w:szCs w:val="24"/>
        </w:rPr>
        <w:t>,</w:t>
      </w:r>
      <w:r w:rsidR="00D723D7" w:rsidRPr="00395B00">
        <w:rPr>
          <w:rFonts w:ascii="Century Schoolbook" w:hAnsi="Century Schoolbook" w:cs="Times New Roman"/>
          <w:sz w:val="24"/>
          <w:szCs w:val="24"/>
          <w:vertAlign w:val="superscript"/>
        </w:rPr>
        <w:footnoteReference w:id="89"/>
      </w:r>
      <w:r w:rsidRPr="00395B00">
        <w:rPr>
          <w:rFonts w:ascii="Century Schoolbook" w:hAnsi="Century Schoolbook" w:cs="Times New Roman"/>
          <w:sz w:val="24"/>
          <w:szCs w:val="24"/>
        </w:rPr>
        <w:t xml:space="preserve"> </w:t>
      </w:r>
      <w:r w:rsidR="0036099A">
        <w:rPr>
          <w:rFonts w:ascii="Century Schoolbook" w:hAnsi="Century Schoolbook" w:cs="Times New Roman"/>
          <w:sz w:val="24"/>
          <w:szCs w:val="24"/>
        </w:rPr>
        <w:t>after</w:t>
      </w:r>
      <w:r w:rsidR="008B742D" w:rsidRPr="00395B00">
        <w:rPr>
          <w:rFonts w:ascii="Century Schoolbook" w:hAnsi="Century Schoolbook" w:cs="Times New Roman"/>
          <w:sz w:val="24"/>
          <w:szCs w:val="24"/>
        </w:rPr>
        <w:t xml:space="preserve"> which </w:t>
      </w:r>
      <w:r w:rsidR="00237D86" w:rsidRPr="00395B00">
        <w:rPr>
          <w:rFonts w:ascii="Century Schoolbook" w:hAnsi="Century Schoolbook" w:cs="Times New Roman"/>
          <w:sz w:val="24"/>
          <w:szCs w:val="24"/>
        </w:rPr>
        <w:t>the</w:t>
      </w:r>
      <w:r w:rsidR="006F37DA" w:rsidRPr="00395B00">
        <w:rPr>
          <w:rFonts w:ascii="Century Schoolbook" w:hAnsi="Century Schoolbook"/>
          <w:color w:val="000000" w:themeColor="text1"/>
          <w:sz w:val="24"/>
          <w:szCs w:val="24"/>
        </w:rPr>
        <w:t xml:space="preserve"> </w:t>
      </w:r>
      <w:r w:rsidR="009A4F29" w:rsidRPr="00395B00">
        <w:rPr>
          <w:rFonts w:ascii="Century Schoolbook" w:hAnsi="Century Schoolbook"/>
          <w:color w:val="000000" w:themeColor="text1"/>
          <w:sz w:val="24"/>
          <w:szCs w:val="24"/>
        </w:rPr>
        <w:t xml:space="preserve">candidates selected for the </w:t>
      </w:r>
      <w:r w:rsidR="006F37DA" w:rsidRPr="00395B00">
        <w:rPr>
          <w:rFonts w:ascii="Century Schoolbook" w:hAnsi="Century Schoolbook"/>
          <w:color w:val="000000" w:themeColor="text1"/>
          <w:sz w:val="24"/>
          <w:szCs w:val="24"/>
        </w:rPr>
        <w:t>Johannesburg,</w:t>
      </w:r>
      <w:r w:rsidR="00237D86" w:rsidRPr="00395B00">
        <w:rPr>
          <w:rFonts w:ascii="Century Schoolbook" w:hAnsi="Century Schoolbook" w:cs="Times New Roman"/>
          <w:sz w:val="24"/>
          <w:szCs w:val="24"/>
        </w:rPr>
        <w:t xml:space="preserve"> </w:t>
      </w:r>
      <w:r w:rsidR="00237D86" w:rsidRPr="00395B00">
        <w:rPr>
          <w:rFonts w:ascii="Century Schoolbook" w:hAnsi="Century Schoolbook"/>
          <w:color w:val="000000" w:themeColor="text1"/>
          <w:sz w:val="24"/>
          <w:szCs w:val="24"/>
        </w:rPr>
        <w:t>Pretoria, Cape Town and Port Elizabeth</w:t>
      </w:r>
      <w:r w:rsidR="00D723D7" w:rsidRPr="00395B00">
        <w:rPr>
          <w:rFonts w:ascii="Century Schoolbook" w:hAnsi="Century Schoolbook"/>
          <w:color w:val="000000" w:themeColor="text1"/>
          <w:sz w:val="24"/>
          <w:szCs w:val="24"/>
        </w:rPr>
        <w:t xml:space="preserve"> </w:t>
      </w:r>
      <w:r w:rsidR="006F37DA" w:rsidRPr="00395B00">
        <w:rPr>
          <w:rFonts w:ascii="Century Schoolbook" w:hAnsi="Century Schoolbook"/>
          <w:color w:val="000000" w:themeColor="text1"/>
          <w:sz w:val="24"/>
          <w:szCs w:val="24"/>
        </w:rPr>
        <w:t xml:space="preserve">posts </w:t>
      </w:r>
      <w:r w:rsidR="006F37DA" w:rsidRPr="00395B00">
        <w:rPr>
          <w:rFonts w:ascii="Century Schoolbook" w:hAnsi="Century Schoolbook" w:cs="Times New Roman"/>
          <w:sz w:val="24"/>
          <w:szCs w:val="24"/>
        </w:rPr>
        <w:t xml:space="preserve">were </w:t>
      </w:r>
      <w:r w:rsidR="009A4F29" w:rsidRPr="00395B00">
        <w:rPr>
          <w:rFonts w:ascii="Century Schoolbook" w:hAnsi="Century Schoolbook" w:cs="Times New Roman"/>
          <w:sz w:val="24"/>
          <w:szCs w:val="24"/>
        </w:rPr>
        <w:t>approved on 8 December 2008</w:t>
      </w:r>
      <w:r w:rsidR="006D1928">
        <w:rPr>
          <w:rStyle w:val="FootnoteReference"/>
          <w:rFonts w:ascii="Century Schoolbook" w:hAnsi="Century Schoolbook" w:cs="Times New Roman"/>
          <w:sz w:val="24"/>
          <w:szCs w:val="24"/>
        </w:rPr>
        <w:footnoteReference w:id="90"/>
      </w:r>
      <w:r w:rsidR="009A4F29" w:rsidRPr="00395B00">
        <w:rPr>
          <w:rFonts w:ascii="Century Schoolbook" w:hAnsi="Century Schoolbook" w:cs="Times New Roman"/>
          <w:sz w:val="24"/>
          <w:szCs w:val="24"/>
        </w:rPr>
        <w:t xml:space="preserve"> and appointed</w:t>
      </w:r>
      <w:r w:rsidR="00395B00">
        <w:rPr>
          <w:rFonts w:ascii="Century Schoolbook" w:hAnsi="Century Schoolbook" w:cs="Times New Roman"/>
          <w:sz w:val="24"/>
          <w:szCs w:val="24"/>
        </w:rPr>
        <w:t>.</w:t>
      </w:r>
      <w:r w:rsidR="006F37DA" w:rsidRPr="00395B00">
        <w:rPr>
          <w:rStyle w:val="FootnoteReference"/>
          <w:rFonts w:ascii="Century Schoolbook" w:hAnsi="Century Schoolbook"/>
          <w:color w:val="000000" w:themeColor="text1"/>
          <w:sz w:val="24"/>
          <w:szCs w:val="24"/>
        </w:rPr>
        <w:footnoteReference w:id="91"/>
      </w:r>
      <w:r w:rsidR="006F37DA" w:rsidRPr="00395B00">
        <w:rPr>
          <w:rFonts w:ascii="Century Schoolbook" w:hAnsi="Century Schoolbook" w:cs="Times New Roman"/>
          <w:sz w:val="24"/>
          <w:szCs w:val="24"/>
        </w:rPr>
        <w:t xml:space="preserve"> </w:t>
      </w:r>
      <w:r w:rsidR="00395B00">
        <w:rPr>
          <w:rFonts w:ascii="Century Schoolbook" w:hAnsi="Century Schoolbook" w:cs="Times New Roman"/>
          <w:sz w:val="24"/>
          <w:szCs w:val="24"/>
        </w:rPr>
        <w:t>T</w:t>
      </w:r>
      <w:r w:rsidR="006F37DA" w:rsidRPr="00395B00">
        <w:rPr>
          <w:rFonts w:ascii="Century Schoolbook" w:hAnsi="Century Schoolbook" w:cs="Times New Roman"/>
          <w:sz w:val="24"/>
          <w:szCs w:val="24"/>
        </w:rPr>
        <w:t xml:space="preserve">he </w:t>
      </w:r>
      <w:r w:rsidR="006F37DA" w:rsidRPr="00395B00">
        <w:rPr>
          <w:rFonts w:ascii="Century Schoolbook" w:hAnsi="Century Schoolbook"/>
          <w:color w:val="000000" w:themeColor="text1"/>
          <w:sz w:val="24"/>
          <w:szCs w:val="24"/>
        </w:rPr>
        <w:t xml:space="preserve">Bloemfontein and Mahikeng </w:t>
      </w:r>
      <w:r w:rsidR="00237D86" w:rsidRPr="00395B00">
        <w:rPr>
          <w:rFonts w:ascii="Century Schoolbook" w:hAnsi="Century Schoolbook" w:cs="Times New Roman"/>
          <w:sz w:val="24"/>
          <w:szCs w:val="24"/>
        </w:rPr>
        <w:t>posts</w:t>
      </w:r>
      <w:r w:rsidR="00395B00" w:rsidRPr="00395B00">
        <w:rPr>
          <w:rFonts w:ascii="Century Schoolbook" w:hAnsi="Century Schoolbook" w:cs="Times New Roman"/>
          <w:sz w:val="24"/>
          <w:szCs w:val="24"/>
        </w:rPr>
        <w:t xml:space="preserve"> </w:t>
      </w:r>
      <w:r w:rsidR="00395B00">
        <w:rPr>
          <w:rFonts w:ascii="Century Schoolbook" w:hAnsi="Century Schoolbook" w:cs="Times New Roman"/>
          <w:sz w:val="24"/>
          <w:szCs w:val="24"/>
        </w:rPr>
        <w:t xml:space="preserve">were filled </w:t>
      </w:r>
      <w:r w:rsidR="00395B00" w:rsidRPr="00395B00">
        <w:rPr>
          <w:rFonts w:ascii="Century Schoolbook" w:hAnsi="Century Schoolbook" w:cs="Times New Roman"/>
          <w:sz w:val="24"/>
          <w:szCs w:val="24"/>
        </w:rPr>
        <w:t>later on.</w:t>
      </w:r>
      <w:r w:rsidR="006F37DA" w:rsidRPr="00395B00">
        <w:rPr>
          <w:rStyle w:val="FootnoteReference"/>
          <w:rFonts w:ascii="Century Schoolbook" w:hAnsi="Century Schoolbook" w:cs="Times New Roman"/>
          <w:sz w:val="24"/>
          <w:szCs w:val="24"/>
        </w:rPr>
        <w:footnoteReference w:id="92"/>
      </w:r>
      <w:r w:rsidR="00237D86" w:rsidRPr="00395B00">
        <w:rPr>
          <w:rFonts w:ascii="Century Schoolbook" w:hAnsi="Century Schoolbook" w:cs="Times New Roman"/>
          <w:sz w:val="24"/>
          <w:szCs w:val="24"/>
        </w:rPr>
        <w:t xml:space="preserve"> </w:t>
      </w:r>
      <w:r w:rsidR="00395B00" w:rsidRPr="00395B00">
        <w:rPr>
          <w:rFonts w:ascii="Century Schoolbook" w:hAnsi="Century Schoolbook" w:cs="Times New Roman"/>
          <w:sz w:val="24"/>
          <w:szCs w:val="24"/>
        </w:rPr>
        <w:t xml:space="preserve">No appointments were made to the </w:t>
      </w:r>
      <w:r w:rsidR="00AA3250" w:rsidRPr="00395B00">
        <w:rPr>
          <w:rFonts w:ascii="Century Schoolbook" w:hAnsi="Century Schoolbook"/>
          <w:color w:val="000000" w:themeColor="text1"/>
          <w:sz w:val="24"/>
          <w:szCs w:val="24"/>
        </w:rPr>
        <w:t>Pietermaritzburg, Durban and Kimberley</w:t>
      </w:r>
      <w:r w:rsidR="00237D86" w:rsidRPr="00395B00">
        <w:rPr>
          <w:rFonts w:ascii="Century Schoolbook" w:hAnsi="Century Schoolbook"/>
          <w:color w:val="000000" w:themeColor="text1"/>
          <w:sz w:val="24"/>
          <w:szCs w:val="24"/>
        </w:rPr>
        <w:t xml:space="preserve"> posts</w:t>
      </w:r>
      <w:r w:rsidR="0036099A" w:rsidRPr="0036099A">
        <w:rPr>
          <w:rFonts w:ascii="Century Schoolbook" w:hAnsi="Century Schoolbook"/>
          <w:color w:val="000000" w:themeColor="text1"/>
          <w:sz w:val="24"/>
          <w:szCs w:val="24"/>
        </w:rPr>
        <w:t xml:space="preserve"> </w:t>
      </w:r>
      <w:r w:rsidR="0036099A">
        <w:rPr>
          <w:rFonts w:ascii="Century Schoolbook" w:hAnsi="Century Schoolbook"/>
          <w:color w:val="000000" w:themeColor="text1"/>
          <w:sz w:val="24"/>
          <w:szCs w:val="24"/>
        </w:rPr>
        <w:t xml:space="preserve">pursuant to the </w:t>
      </w:r>
      <w:r w:rsidR="0036099A">
        <w:rPr>
          <w:rFonts w:ascii="Century Schoolbook" w:hAnsi="Century Schoolbook"/>
          <w:color w:val="000000" w:themeColor="text1"/>
          <w:sz w:val="24"/>
          <w:szCs w:val="24"/>
        </w:rPr>
        <w:lastRenderedPageBreak/>
        <w:t>initial advertisement and recruitment process</w:t>
      </w:r>
      <w:r w:rsidR="00AA3250" w:rsidRPr="00395B00">
        <w:rPr>
          <w:rFonts w:ascii="Century Schoolbook" w:hAnsi="Century Schoolbook"/>
          <w:color w:val="000000" w:themeColor="text1"/>
          <w:sz w:val="24"/>
          <w:szCs w:val="24"/>
        </w:rPr>
        <w:t xml:space="preserve">, </w:t>
      </w:r>
      <w:r w:rsidR="00395B00" w:rsidRPr="00395B00">
        <w:rPr>
          <w:rFonts w:ascii="Century Schoolbook" w:hAnsi="Century Schoolbook"/>
          <w:color w:val="000000" w:themeColor="text1"/>
          <w:sz w:val="24"/>
          <w:szCs w:val="24"/>
        </w:rPr>
        <w:t xml:space="preserve">and </w:t>
      </w:r>
      <w:r w:rsidR="0036099A">
        <w:rPr>
          <w:rFonts w:ascii="Century Schoolbook" w:hAnsi="Century Schoolbook"/>
          <w:color w:val="000000" w:themeColor="text1"/>
          <w:sz w:val="24"/>
          <w:szCs w:val="24"/>
        </w:rPr>
        <w:t>LASA</w:t>
      </w:r>
      <w:r w:rsidR="00395B00">
        <w:rPr>
          <w:rFonts w:ascii="Century Schoolbook" w:hAnsi="Century Schoolbook"/>
          <w:color w:val="000000" w:themeColor="text1"/>
          <w:sz w:val="24"/>
          <w:szCs w:val="24"/>
        </w:rPr>
        <w:t xml:space="preserve"> </w:t>
      </w:r>
      <w:r w:rsidR="0036099A" w:rsidRPr="00395B00">
        <w:rPr>
          <w:rFonts w:ascii="Century Schoolbook" w:hAnsi="Century Schoolbook"/>
          <w:color w:val="000000" w:themeColor="text1"/>
          <w:sz w:val="24"/>
          <w:szCs w:val="24"/>
        </w:rPr>
        <w:t>readvertised</w:t>
      </w:r>
      <w:r w:rsidR="0036099A">
        <w:rPr>
          <w:rFonts w:ascii="Century Schoolbook" w:hAnsi="Century Schoolbook"/>
          <w:color w:val="000000" w:themeColor="text1"/>
          <w:sz w:val="24"/>
          <w:szCs w:val="24"/>
        </w:rPr>
        <w:t xml:space="preserve"> the </w:t>
      </w:r>
      <w:r w:rsidR="00395B00">
        <w:rPr>
          <w:rFonts w:ascii="Century Schoolbook" w:hAnsi="Century Schoolbook"/>
          <w:color w:val="000000" w:themeColor="text1"/>
          <w:sz w:val="24"/>
          <w:szCs w:val="24"/>
        </w:rPr>
        <w:t>three posts</w:t>
      </w:r>
      <w:r w:rsidR="00F76E43" w:rsidRPr="00F76E43">
        <w:rPr>
          <w:rFonts w:ascii="Century Schoolbook" w:hAnsi="Century Schoolbook"/>
          <w:color w:val="000000" w:themeColor="text1"/>
          <w:sz w:val="24"/>
          <w:szCs w:val="24"/>
        </w:rPr>
        <w:t xml:space="preserve"> </w:t>
      </w:r>
      <w:r w:rsidR="00F76E43" w:rsidRPr="00395B00">
        <w:rPr>
          <w:rFonts w:ascii="Century Schoolbook" w:hAnsi="Century Schoolbook"/>
          <w:color w:val="000000" w:themeColor="text1"/>
          <w:sz w:val="24"/>
          <w:szCs w:val="24"/>
        </w:rPr>
        <w:t>in 2009</w:t>
      </w:r>
      <w:r w:rsidR="00AA3250" w:rsidRPr="00395B00">
        <w:rPr>
          <w:rFonts w:ascii="Century Schoolbook" w:hAnsi="Century Schoolbook"/>
          <w:color w:val="000000" w:themeColor="text1"/>
          <w:sz w:val="24"/>
          <w:szCs w:val="24"/>
        </w:rPr>
        <w:t>.</w:t>
      </w:r>
      <w:r w:rsidR="00AA3250" w:rsidRPr="00395B00">
        <w:rPr>
          <w:rStyle w:val="FootnoteReference"/>
          <w:rFonts w:ascii="Century Schoolbook" w:hAnsi="Century Schoolbook"/>
          <w:color w:val="000000" w:themeColor="text1"/>
          <w:sz w:val="24"/>
          <w:szCs w:val="24"/>
        </w:rPr>
        <w:footnoteReference w:id="93"/>
      </w:r>
    </w:p>
    <w:p w:rsidR="00AA3250" w:rsidRPr="00EA6C27" w:rsidRDefault="00D723D7" w:rsidP="00EA6C2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olor w:val="000000" w:themeColor="text1"/>
          <w:sz w:val="24"/>
          <w:szCs w:val="24"/>
        </w:rPr>
        <w:t>T</w:t>
      </w:r>
      <w:r w:rsidR="00A80519" w:rsidRPr="006C6879">
        <w:rPr>
          <w:rFonts w:ascii="Century Schoolbook" w:hAnsi="Century Schoolbook"/>
          <w:color w:val="000000" w:themeColor="text1"/>
          <w:sz w:val="24"/>
          <w:szCs w:val="24"/>
        </w:rPr>
        <w:t xml:space="preserve">he </w:t>
      </w:r>
      <w:r w:rsidR="00F07BF2" w:rsidRPr="006C6879">
        <w:rPr>
          <w:rFonts w:ascii="Century Schoolbook" w:hAnsi="Century Schoolbook"/>
          <w:color w:val="000000" w:themeColor="text1"/>
          <w:sz w:val="24"/>
          <w:szCs w:val="24"/>
        </w:rPr>
        <w:t>re</w:t>
      </w:r>
      <w:r w:rsidR="00EC5A62">
        <w:rPr>
          <w:rFonts w:ascii="Century Schoolbook" w:hAnsi="Century Schoolbook"/>
          <w:color w:val="000000" w:themeColor="text1"/>
          <w:sz w:val="24"/>
          <w:szCs w:val="24"/>
        </w:rPr>
        <w:t>-</w:t>
      </w:r>
      <w:r w:rsidR="00F07BF2" w:rsidRPr="006C6879">
        <w:rPr>
          <w:rFonts w:ascii="Century Schoolbook" w:hAnsi="Century Schoolbook"/>
          <w:color w:val="000000" w:themeColor="text1"/>
          <w:sz w:val="24"/>
          <w:szCs w:val="24"/>
        </w:rPr>
        <w:t>advertisement</w:t>
      </w:r>
      <w:r w:rsidR="00237D86" w:rsidRPr="006C6879">
        <w:rPr>
          <w:rFonts w:ascii="Century Schoolbook" w:hAnsi="Century Schoolbook"/>
          <w:color w:val="000000" w:themeColor="text1"/>
          <w:sz w:val="24"/>
          <w:szCs w:val="24"/>
        </w:rPr>
        <w:t xml:space="preserve"> of the Kimberley post</w:t>
      </w:r>
      <w:r w:rsidR="00F07BF2" w:rsidRPr="006C6879">
        <w:rPr>
          <w:rFonts w:ascii="Century Schoolbook" w:hAnsi="Century Schoolbook"/>
          <w:color w:val="000000" w:themeColor="text1"/>
          <w:sz w:val="24"/>
          <w:szCs w:val="24"/>
        </w:rPr>
        <w:t xml:space="preserve"> </w:t>
      </w:r>
      <w:r w:rsidR="00237D86" w:rsidRPr="006C6879">
        <w:rPr>
          <w:rFonts w:ascii="Century Schoolbook" w:hAnsi="Century Schoolbook"/>
          <w:color w:val="000000" w:themeColor="text1"/>
          <w:sz w:val="24"/>
          <w:szCs w:val="24"/>
        </w:rPr>
        <w:t>in May 2009</w:t>
      </w:r>
      <w:r w:rsidR="00237D86" w:rsidRPr="006C6879">
        <w:rPr>
          <w:rStyle w:val="FootnoteReference"/>
          <w:rFonts w:ascii="Century Schoolbook" w:hAnsi="Century Schoolbook" w:cs="Arial"/>
          <w:color w:val="000000" w:themeColor="text1"/>
          <w:sz w:val="24"/>
          <w:szCs w:val="24"/>
        </w:rPr>
        <w:footnoteReference w:id="94"/>
      </w:r>
      <w:r w:rsidR="00237D86" w:rsidRPr="006C6879">
        <w:rPr>
          <w:rFonts w:ascii="Century Schoolbook" w:hAnsi="Century Schoolbook"/>
          <w:color w:val="000000" w:themeColor="text1"/>
          <w:sz w:val="24"/>
          <w:szCs w:val="24"/>
        </w:rPr>
        <w:t xml:space="preserve"> </w:t>
      </w:r>
      <w:r w:rsidRPr="006C6879">
        <w:rPr>
          <w:rFonts w:ascii="Century Schoolbook" w:hAnsi="Century Schoolbook"/>
          <w:color w:val="000000" w:themeColor="text1"/>
          <w:sz w:val="24"/>
          <w:szCs w:val="24"/>
        </w:rPr>
        <w:t xml:space="preserve">failed to attract a </w:t>
      </w:r>
      <w:r w:rsidR="00AA3250" w:rsidRPr="006C6879">
        <w:rPr>
          <w:rFonts w:ascii="Century Schoolbook" w:hAnsi="Century Schoolbook"/>
          <w:color w:val="000000" w:themeColor="text1"/>
          <w:sz w:val="24"/>
          <w:szCs w:val="24"/>
        </w:rPr>
        <w:t>suitable applicant</w:t>
      </w:r>
      <w:r w:rsidR="00F76E43">
        <w:rPr>
          <w:rFonts w:ascii="Century Schoolbook" w:hAnsi="Century Schoolbook"/>
          <w:color w:val="000000" w:themeColor="text1"/>
          <w:sz w:val="24"/>
          <w:szCs w:val="24"/>
        </w:rPr>
        <w:t>,</w:t>
      </w:r>
      <w:r w:rsidR="00AE02D9">
        <w:rPr>
          <w:rStyle w:val="FootnoteReference"/>
          <w:rFonts w:ascii="Century Schoolbook" w:hAnsi="Century Schoolbook"/>
          <w:color w:val="000000" w:themeColor="text1"/>
          <w:sz w:val="24"/>
          <w:szCs w:val="24"/>
        </w:rPr>
        <w:footnoteReference w:id="95"/>
      </w:r>
      <w:r w:rsidRPr="006C6879">
        <w:rPr>
          <w:rFonts w:ascii="Century Schoolbook" w:hAnsi="Century Schoolbook"/>
          <w:color w:val="000000" w:themeColor="text1"/>
          <w:sz w:val="24"/>
          <w:szCs w:val="24"/>
        </w:rPr>
        <w:t xml:space="preserve"> </w:t>
      </w:r>
      <w:r w:rsidR="00F76E43">
        <w:rPr>
          <w:rFonts w:ascii="Century Schoolbook" w:hAnsi="Century Schoolbook"/>
          <w:color w:val="000000" w:themeColor="text1"/>
          <w:sz w:val="24"/>
          <w:szCs w:val="24"/>
        </w:rPr>
        <w:t>and o</w:t>
      </w:r>
      <w:r w:rsidR="00AC5460" w:rsidRPr="006C6879">
        <w:rPr>
          <w:rFonts w:ascii="Century Schoolbook" w:hAnsi="Century Schoolbook" w:cs="Times New Roman"/>
          <w:sz w:val="24"/>
          <w:szCs w:val="24"/>
        </w:rPr>
        <w:t>n 2</w:t>
      </w:r>
      <w:r w:rsidR="00AC5460">
        <w:rPr>
          <w:rFonts w:ascii="Century Schoolbook" w:hAnsi="Century Schoolbook" w:cs="Times New Roman"/>
          <w:sz w:val="24"/>
          <w:szCs w:val="24"/>
        </w:rPr>
        <w:t>4</w:t>
      </w:r>
      <w:r w:rsidR="00AC5460" w:rsidRPr="006C6879">
        <w:rPr>
          <w:rFonts w:ascii="Century Schoolbook" w:hAnsi="Century Schoolbook" w:cs="Times New Roman"/>
          <w:sz w:val="24"/>
          <w:szCs w:val="24"/>
        </w:rPr>
        <w:t xml:space="preserve"> March 2010</w:t>
      </w:r>
      <w:r w:rsidR="00AC5460">
        <w:rPr>
          <w:rFonts w:ascii="Century Schoolbook" w:hAnsi="Century Schoolbook" w:cs="Times New Roman"/>
          <w:sz w:val="24"/>
          <w:szCs w:val="24"/>
        </w:rPr>
        <w:t xml:space="preserve">, </w:t>
      </w:r>
      <w:r w:rsidR="00AC5460" w:rsidRPr="006C6879">
        <w:rPr>
          <w:rFonts w:ascii="Century Schoolbook" w:hAnsi="Century Schoolbook" w:cs="Times New Roman"/>
          <w:sz w:val="24"/>
          <w:szCs w:val="24"/>
        </w:rPr>
        <w:t>LASA’s Legal Services Technical Committee</w:t>
      </w:r>
      <w:r w:rsidR="00AC5460" w:rsidRPr="006C6879">
        <w:rPr>
          <w:rFonts w:ascii="Century Schoolbook" w:hAnsi="Century Schoolbook"/>
          <w:color w:val="000000" w:themeColor="text1"/>
          <w:sz w:val="24"/>
          <w:szCs w:val="24"/>
        </w:rPr>
        <w:t xml:space="preserve"> </w:t>
      </w:r>
      <w:r w:rsidR="00AC5460" w:rsidRPr="006C6879">
        <w:rPr>
          <w:rFonts w:ascii="Century Schoolbook" w:hAnsi="Century Schoolbook" w:cs="Times New Roman"/>
          <w:sz w:val="24"/>
          <w:szCs w:val="24"/>
        </w:rPr>
        <w:t>accepted</w:t>
      </w:r>
      <w:r w:rsidR="00AC5460" w:rsidRPr="006C6879">
        <w:rPr>
          <w:rFonts w:ascii="Century Schoolbook" w:hAnsi="Century Schoolbook"/>
          <w:color w:val="000000" w:themeColor="text1"/>
          <w:sz w:val="24"/>
          <w:szCs w:val="24"/>
        </w:rPr>
        <w:t xml:space="preserve"> </w:t>
      </w:r>
      <w:r w:rsidR="00AC5460" w:rsidRPr="006C6879">
        <w:rPr>
          <w:rFonts w:ascii="Century Schoolbook" w:hAnsi="Century Schoolbook" w:cs="Times New Roman"/>
          <w:sz w:val="24"/>
          <w:szCs w:val="24"/>
        </w:rPr>
        <w:t xml:space="preserve">that the </w:t>
      </w:r>
      <w:r w:rsidR="00AC5460">
        <w:rPr>
          <w:rFonts w:ascii="Century Schoolbook" w:hAnsi="Century Schoolbook" w:cs="Times New Roman"/>
          <w:sz w:val="24"/>
          <w:szCs w:val="24"/>
        </w:rPr>
        <w:t xml:space="preserve">vacant </w:t>
      </w:r>
      <w:r w:rsidR="00AC5460" w:rsidRPr="006C6879">
        <w:rPr>
          <w:rFonts w:ascii="Century Schoolbook" w:hAnsi="Century Schoolbook" w:cs="Times New Roman"/>
          <w:sz w:val="24"/>
          <w:szCs w:val="24"/>
        </w:rPr>
        <w:t>post was ‘redundant’</w:t>
      </w:r>
      <w:r w:rsidR="00AC5460" w:rsidRPr="006C6879">
        <w:rPr>
          <w:rStyle w:val="FootnoteReference"/>
          <w:rFonts w:ascii="Century Schoolbook" w:hAnsi="Century Schoolbook" w:cs="Arial"/>
          <w:color w:val="000000" w:themeColor="text1"/>
          <w:sz w:val="24"/>
          <w:szCs w:val="24"/>
        </w:rPr>
        <w:footnoteReference w:id="96"/>
      </w:r>
      <w:r w:rsidR="00AC5460">
        <w:rPr>
          <w:rFonts w:ascii="Century Schoolbook" w:hAnsi="Century Schoolbook" w:cs="Times New Roman"/>
          <w:sz w:val="24"/>
          <w:szCs w:val="24"/>
        </w:rPr>
        <w:t xml:space="preserve"> </w:t>
      </w:r>
      <w:r w:rsidR="009B187E">
        <w:rPr>
          <w:rFonts w:ascii="Century Schoolbook" w:hAnsi="Century Schoolbook" w:cs="Times New Roman"/>
          <w:sz w:val="24"/>
          <w:szCs w:val="24"/>
        </w:rPr>
        <w:t>since there’d ‘never been a demand for’ it</w:t>
      </w:r>
      <w:r w:rsidR="009B187E">
        <w:rPr>
          <w:rStyle w:val="FootnoteReference"/>
          <w:rFonts w:ascii="Century Schoolbook" w:hAnsi="Century Schoolbook" w:cs="Times New Roman"/>
          <w:sz w:val="24"/>
          <w:szCs w:val="24"/>
        </w:rPr>
        <w:footnoteReference w:id="97"/>
      </w:r>
      <w:r w:rsidR="009B187E">
        <w:rPr>
          <w:rFonts w:ascii="Century Schoolbook" w:hAnsi="Century Schoolbook" w:cs="Times New Roman"/>
          <w:sz w:val="24"/>
          <w:szCs w:val="24"/>
        </w:rPr>
        <w:t xml:space="preserve"> </w:t>
      </w:r>
      <w:r w:rsidR="004F5792" w:rsidRPr="00EA6C27">
        <w:rPr>
          <w:rFonts w:ascii="Century Schoolbook" w:hAnsi="Century Schoolbook" w:cs="Times New Roman"/>
          <w:sz w:val="24"/>
          <w:szCs w:val="24"/>
        </w:rPr>
        <w:t>and</w:t>
      </w:r>
      <w:r w:rsidR="00AC5460">
        <w:rPr>
          <w:rFonts w:ascii="Century Schoolbook" w:hAnsi="Century Schoolbook" w:cs="Times New Roman"/>
          <w:sz w:val="24"/>
          <w:szCs w:val="24"/>
        </w:rPr>
        <w:t xml:space="preserve"> </w:t>
      </w:r>
      <w:r w:rsidR="00A80519" w:rsidRPr="00EA6C27">
        <w:rPr>
          <w:rFonts w:ascii="Century Schoolbook" w:hAnsi="Century Schoolbook" w:cs="Times New Roman"/>
          <w:sz w:val="24"/>
          <w:szCs w:val="24"/>
        </w:rPr>
        <w:t xml:space="preserve">resolved to </w:t>
      </w:r>
      <w:r w:rsidR="00231AF2" w:rsidRPr="00EA6C27">
        <w:rPr>
          <w:rFonts w:ascii="Century Schoolbook" w:hAnsi="Century Schoolbook" w:cs="Times New Roman"/>
          <w:sz w:val="24"/>
          <w:szCs w:val="24"/>
        </w:rPr>
        <w:t>abolish it</w:t>
      </w:r>
      <w:r w:rsidR="00BC0D32" w:rsidRPr="00EA6C27">
        <w:rPr>
          <w:rFonts w:ascii="Century Schoolbook" w:hAnsi="Century Schoolbook" w:cs="Times New Roman"/>
          <w:sz w:val="24"/>
          <w:szCs w:val="24"/>
        </w:rPr>
        <w:t xml:space="preserve"> and </w:t>
      </w:r>
      <w:r w:rsidR="00EA6C27" w:rsidRPr="00EA6C27">
        <w:rPr>
          <w:rFonts w:ascii="Century Schoolbook" w:hAnsi="Century Schoolbook" w:cs="Times New Roman"/>
          <w:sz w:val="24"/>
          <w:szCs w:val="24"/>
        </w:rPr>
        <w:t>transfer</w:t>
      </w:r>
      <w:r w:rsidR="0029244E" w:rsidRPr="00EA6C27">
        <w:rPr>
          <w:rFonts w:ascii="Century Schoolbook" w:hAnsi="Century Schoolbook" w:cs="Times New Roman"/>
          <w:sz w:val="24"/>
          <w:szCs w:val="24"/>
        </w:rPr>
        <w:t xml:space="preserve"> its budget to </w:t>
      </w:r>
      <w:r w:rsidR="00AA3250" w:rsidRPr="00EA6C27">
        <w:rPr>
          <w:rFonts w:ascii="Century Schoolbook" w:hAnsi="Century Schoolbook" w:cs="Times New Roman"/>
          <w:sz w:val="24"/>
          <w:szCs w:val="24"/>
        </w:rPr>
        <w:t xml:space="preserve">a second Senior Litigator post </w:t>
      </w:r>
      <w:r w:rsidR="00EA6C27" w:rsidRPr="00EA6C27">
        <w:rPr>
          <w:rFonts w:ascii="Century Schoolbook" w:hAnsi="Century Schoolbook" w:cs="Times New Roman"/>
          <w:sz w:val="24"/>
          <w:szCs w:val="24"/>
        </w:rPr>
        <w:t xml:space="preserve">to be created </w:t>
      </w:r>
      <w:r w:rsidR="00AA3250" w:rsidRPr="00EA6C27">
        <w:rPr>
          <w:rFonts w:ascii="Century Schoolbook" w:hAnsi="Century Schoolbook" w:cs="Times New Roman"/>
          <w:sz w:val="24"/>
          <w:szCs w:val="24"/>
        </w:rPr>
        <w:t>for the Eastern Cape at Mthatha</w:t>
      </w:r>
      <w:r w:rsidR="00487AEA">
        <w:rPr>
          <w:rFonts w:ascii="Century Schoolbook" w:hAnsi="Century Schoolbook" w:cs="Times New Roman"/>
          <w:sz w:val="24"/>
          <w:szCs w:val="24"/>
        </w:rPr>
        <w:t>,</w:t>
      </w:r>
      <w:r w:rsidR="00AA3250" w:rsidRPr="006C6879">
        <w:rPr>
          <w:rStyle w:val="FootnoteReference"/>
          <w:rFonts w:ascii="Century Schoolbook" w:hAnsi="Century Schoolbook" w:cs="Times New Roman"/>
          <w:sz w:val="24"/>
          <w:szCs w:val="24"/>
        </w:rPr>
        <w:footnoteReference w:id="98"/>
      </w:r>
      <w:r w:rsidR="00AA3250" w:rsidRPr="00EA6C27">
        <w:rPr>
          <w:rFonts w:ascii="Century Schoolbook" w:hAnsi="Century Schoolbook" w:cs="Times New Roman"/>
          <w:sz w:val="24"/>
          <w:szCs w:val="24"/>
        </w:rPr>
        <w:t xml:space="preserve"> </w:t>
      </w:r>
      <w:r w:rsidR="00231AF2" w:rsidRPr="00EA6C27">
        <w:rPr>
          <w:rFonts w:ascii="Century Schoolbook" w:hAnsi="Century Schoolbook" w:cs="Times New Roman"/>
          <w:sz w:val="24"/>
          <w:szCs w:val="24"/>
        </w:rPr>
        <w:t>on the</w:t>
      </w:r>
      <w:r w:rsidR="00AE02D9" w:rsidRPr="00EA6C27">
        <w:rPr>
          <w:rFonts w:ascii="Century Schoolbook" w:hAnsi="Century Schoolbook" w:cs="Times New Roman"/>
          <w:sz w:val="24"/>
          <w:szCs w:val="24"/>
        </w:rPr>
        <w:t xml:space="preserve"> </w:t>
      </w:r>
      <w:r w:rsidR="00231AF2" w:rsidRPr="00EA6C27">
        <w:rPr>
          <w:rFonts w:ascii="Century Schoolbook" w:hAnsi="Century Schoolbook" w:cs="Times New Roman"/>
          <w:sz w:val="24"/>
          <w:szCs w:val="24"/>
        </w:rPr>
        <w:t xml:space="preserve">basis </w:t>
      </w:r>
      <w:r w:rsidR="0029244E" w:rsidRPr="00EA6C27">
        <w:rPr>
          <w:rFonts w:ascii="Century Schoolbook" w:hAnsi="Century Schoolbook" w:cs="Times New Roman"/>
          <w:sz w:val="24"/>
          <w:szCs w:val="24"/>
        </w:rPr>
        <w:t xml:space="preserve">cogently </w:t>
      </w:r>
      <w:r w:rsidR="00AC5460">
        <w:rPr>
          <w:rFonts w:ascii="Century Schoolbook" w:hAnsi="Century Schoolbook" w:cs="Times New Roman"/>
          <w:sz w:val="24"/>
          <w:szCs w:val="24"/>
        </w:rPr>
        <w:t>argue</w:t>
      </w:r>
      <w:r w:rsidR="00231AF2" w:rsidRPr="00EA6C27">
        <w:rPr>
          <w:rFonts w:ascii="Century Schoolbook" w:hAnsi="Century Schoolbook" w:cs="Times New Roman"/>
          <w:sz w:val="24"/>
          <w:szCs w:val="24"/>
        </w:rPr>
        <w:t>d by the Regional Operations Executive</w:t>
      </w:r>
      <w:r w:rsidR="00487AEA" w:rsidRPr="00487AEA">
        <w:rPr>
          <w:rFonts w:ascii="Century Schoolbook" w:hAnsi="Century Schoolbook" w:cs="Times New Roman"/>
          <w:sz w:val="24"/>
          <w:szCs w:val="24"/>
        </w:rPr>
        <w:t xml:space="preserve"> </w:t>
      </w:r>
      <w:r w:rsidR="00487AEA">
        <w:rPr>
          <w:rFonts w:ascii="Century Schoolbook" w:hAnsi="Century Schoolbook" w:cs="Times New Roman"/>
          <w:sz w:val="24"/>
          <w:szCs w:val="24"/>
        </w:rPr>
        <w:t xml:space="preserve">for the </w:t>
      </w:r>
      <w:r w:rsidR="00AC5460">
        <w:rPr>
          <w:rFonts w:ascii="Century Schoolbook" w:hAnsi="Century Schoolbook" w:cs="Times New Roman"/>
          <w:sz w:val="24"/>
          <w:szCs w:val="24"/>
        </w:rPr>
        <w:t>region</w:t>
      </w:r>
      <w:r w:rsidR="00AE02D9">
        <w:rPr>
          <w:rStyle w:val="FootnoteReference"/>
          <w:rFonts w:ascii="Century Schoolbook" w:hAnsi="Century Schoolbook" w:cs="Times New Roman"/>
          <w:sz w:val="24"/>
          <w:szCs w:val="24"/>
        </w:rPr>
        <w:footnoteReference w:id="99"/>
      </w:r>
      <w:r w:rsidR="009E2E8D" w:rsidRPr="00EA6C27">
        <w:rPr>
          <w:rFonts w:ascii="Century Schoolbook" w:hAnsi="Century Schoolbook" w:cs="Times New Roman"/>
          <w:sz w:val="24"/>
          <w:szCs w:val="24"/>
        </w:rPr>
        <w:t xml:space="preserve"> that</w:t>
      </w:r>
      <w:r w:rsidR="00231AF2" w:rsidRPr="00EA6C27">
        <w:rPr>
          <w:rFonts w:ascii="Century Schoolbook" w:hAnsi="Century Schoolbook" w:cs="Times New Roman"/>
          <w:sz w:val="24"/>
          <w:szCs w:val="24"/>
        </w:rPr>
        <w:t xml:space="preserve"> ‘</w:t>
      </w:r>
      <w:r w:rsidR="00231AF2" w:rsidRPr="00EA6C27">
        <w:rPr>
          <w:rFonts w:ascii="Century Schoolbook" w:hAnsi="Century Schoolbook" w:cs="Arial"/>
          <w:color w:val="000000" w:themeColor="text1"/>
          <w:sz w:val="24"/>
          <w:szCs w:val="24"/>
        </w:rPr>
        <w:t>We currently have one Senior Litigator who is stationed at Port Elizabeth. It is a huge challenge for this one person to provide support to the whole Region’</w:t>
      </w:r>
      <w:r w:rsidR="002A175D" w:rsidRPr="00EA6C27">
        <w:rPr>
          <w:rFonts w:ascii="Century Schoolbook" w:hAnsi="Century Schoolbook" w:cs="Arial"/>
          <w:color w:val="000000" w:themeColor="text1"/>
          <w:sz w:val="24"/>
          <w:szCs w:val="24"/>
        </w:rPr>
        <w:t xml:space="preserve"> with its ‘four High Court seats [at] Port Elizabeth, </w:t>
      </w:r>
      <w:r w:rsidR="004A582A" w:rsidRPr="00EA6C27">
        <w:rPr>
          <w:rFonts w:ascii="Century Schoolbook" w:hAnsi="Century Schoolbook" w:cs="Arial"/>
          <w:color w:val="000000" w:themeColor="text1"/>
          <w:sz w:val="24"/>
          <w:szCs w:val="24"/>
        </w:rPr>
        <w:t>Grahamstown, Bhisho and Mthatha’</w:t>
      </w:r>
      <w:r w:rsidR="00AC5460">
        <w:rPr>
          <w:rFonts w:ascii="Century Schoolbook" w:hAnsi="Century Schoolbook" w:cs="Arial"/>
          <w:color w:val="000000" w:themeColor="text1"/>
          <w:sz w:val="24"/>
          <w:szCs w:val="24"/>
        </w:rPr>
        <w:t>,</w:t>
      </w:r>
      <w:r w:rsidR="00231AF2" w:rsidRPr="006C6879">
        <w:rPr>
          <w:rFonts w:ascii="Century Schoolbook" w:hAnsi="Century Schoolbook"/>
          <w:color w:val="000000" w:themeColor="text1"/>
          <w:sz w:val="24"/>
          <w:szCs w:val="24"/>
          <w:vertAlign w:val="superscript"/>
        </w:rPr>
        <w:footnoteReference w:id="100"/>
      </w:r>
      <w:r w:rsidR="00AC5460">
        <w:rPr>
          <w:rFonts w:ascii="Century Schoolbook" w:hAnsi="Century Schoolbook" w:cs="Arial"/>
          <w:color w:val="000000" w:themeColor="text1"/>
          <w:sz w:val="24"/>
          <w:szCs w:val="24"/>
        </w:rPr>
        <w:t xml:space="preserve"> the latter three many kilometres distant from Port Elizabeth.</w:t>
      </w:r>
    </w:p>
    <w:p w:rsidR="00964280" w:rsidRDefault="00870E99" w:rsidP="00AA325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w:t>
      </w:r>
      <w:r w:rsidR="00431696">
        <w:rPr>
          <w:rFonts w:ascii="Century Schoolbook" w:hAnsi="Century Schoolbook" w:cs="Times New Roman"/>
          <w:sz w:val="24"/>
          <w:szCs w:val="24"/>
        </w:rPr>
        <w:t xml:space="preserve">two </w:t>
      </w:r>
      <w:r w:rsidR="00EA6C27">
        <w:rPr>
          <w:rFonts w:ascii="Century Schoolbook" w:hAnsi="Century Schoolbook" w:cs="Times New Roman"/>
          <w:sz w:val="24"/>
          <w:szCs w:val="24"/>
        </w:rPr>
        <w:t xml:space="preserve">vacant </w:t>
      </w:r>
      <w:r w:rsidRPr="006C6879">
        <w:rPr>
          <w:rFonts w:ascii="Century Schoolbook" w:hAnsi="Century Schoolbook" w:cs="Times New Roman"/>
          <w:sz w:val="24"/>
          <w:szCs w:val="24"/>
        </w:rPr>
        <w:t>Pietermaritzburg and Durban posts</w:t>
      </w:r>
      <w:r w:rsidR="00AC5460">
        <w:rPr>
          <w:rFonts w:ascii="Century Schoolbook" w:hAnsi="Century Schoolbook" w:cs="Times New Roman"/>
          <w:sz w:val="24"/>
          <w:szCs w:val="24"/>
        </w:rPr>
        <w:t xml:space="preserve"> in </w:t>
      </w:r>
      <w:r w:rsidR="00487AEA">
        <w:rPr>
          <w:rFonts w:ascii="Century Schoolbook" w:hAnsi="Century Schoolbook" w:cs="Times New Roman"/>
          <w:sz w:val="24"/>
          <w:szCs w:val="24"/>
        </w:rPr>
        <w:t>KwaZulu</w:t>
      </w:r>
      <w:r w:rsidR="00AC5460">
        <w:rPr>
          <w:rFonts w:ascii="Century Schoolbook" w:hAnsi="Century Schoolbook" w:cs="Times New Roman"/>
          <w:sz w:val="24"/>
          <w:szCs w:val="24"/>
        </w:rPr>
        <w:t>-</w:t>
      </w:r>
      <w:r w:rsidR="00487AEA">
        <w:rPr>
          <w:rFonts w:ascii="Century Schoolbook" w:hAnsi="Century Schoolbook" w:cs="Times New Roman"/>
          <w:sz w:val="24"/>
          <w:szCs w:val="24"/>
        </w:rPr>
        <w:t xml:space="preserve">Natal </w:t>
      </w:r>
      <w:r w:rsidRPr="006C6879">
        <w:rPr>
          <w:rFonts w:ascii="Century Schoolbook" w:hAnsi="Century Schoolbook" w:cs="Times New Roman"/>
          <w:sz w:val="24"/>
          <w:szCs w:val="24"/>
        </w:rPr>
        <w:t xml:space="preserve">were </w:t>
      </w:r>
      <w:r w:rsidR="00A80519" w:rsidRPr="006C6879">
        <w:rPr>
          <w:rFonts w:ascii="Century Schoolbook" w:hAnsi="Century Schoolbook" w:cs="Times New Roman"/>
          <w:sz w:val="24"/>
          <w:szCs w:val="24"/>
        </w:rPr>
        <w:t xml:space="preserve">simultaneously </w:t>
      </w:r>
      <w:r w:rsidR="004B4335" w:rsidRPr="006C6879">
        <w:rPr>
          <w:rFonts w:ascii="Century Schoolbook" w:hAnsi="Century Schoolbook" w:cs="Times New Roman"/>
          <w:sz w:val="24"/>
          <w:szCs w:val="24"/>
        </w:rPr>
        <w:t>readvertise</w:t>
      </w:r>
      <w:r w:rsidRPr="006C6879">
        <w:rPr>
          <w:rFonts w:ascii="Century Schoolbook" w:hAnsi="Century Schoolbook" w:cs="Times New Roman"/>
          <w:sz w:val="24"/>
          <w:szCs w:val="24"/>
        </w:rPr>
        <w:t xml:space="preserve">d in </w:t>
      </w:r>
      <w:r w:rsidR="00FA0CD9" w:rsidRPr="006C6879">
        <w:rPr>
          <w:rFonts w:ascii="Century Schoolbook" w:hAnsi="Century Schoolbook"/>
          <w:color w:val="000000" w:themeColor="text1"/>
          <w:sz w:val="24"/>
          <w:szCs w:val="24"/>
        </w:rPr>
        <w:t>June</w:t>
      </w:r>
      <w:r w:rsidR="00DD12A2" w:rsidRPr="006C6879">
        <w:rPr>
          <w:rFonts w:ascii="Century Schoolbook" w:hAnsi="Century Schoolbook"/>
          <w:color w:val="000000" w:themeColor="text1"/>
          <w:sz w:val="24"/>
          <w:szCs w:val="24"/>
        </w:rPr>
        <w:t xml:space="preserve"> </w:t>
      </w:r>
      <w:r w:rsidR="00DD12A2" w:rsidRPr="006C6879">
        <w:rPr>
          <w:rFonts w:ascii="Century Schoolbook" w:hAnsi="Century Schoolbook" w:cs="Times New Roman"/>
          <w:sz w:val="24"/>
          <w:szCs w:val="24"/>
        </w:rPr>
        <w:t>2009</w:t>
      </w:r>
      <w:r w:rsidR="00DD12A2" w:rsidRPr="006C6879">
        <w:rPr>
          <w:rStyle w:val="FootnoteReference"/>
          <w:rFonts w:ascii="Century Schoolbook" w:hAnsi="Century Schoolbook"/>
          <w:color w:val="000000" w:themeColor="text1"/>
          <w:sz w:val="24"/>
          <w:szCs w:val="24"/>
        </w:rPr>
        <w:footnoteReference w:id="101"/>
      </w:r>
      <w:r w:rsidR="00FA0CD9" w:rsidRPr="006C6879">
        <w:rPr>
          <w:rFonts w:ascii="Century Schoolbook" w:hAnsi="Century Schoolbook"/>
          <w:color w:val="000000" w:themeColor="text1"/>
          <w:sz w:val="24"/>
          <w:szCs w:val="24"/>
        </w:rPr>
        <w:t xml:space="preserve"> and </w:t>
      </w:r>
      <w:r w:rsidR="00DD12A2" w:rsidRPr="006C6879">
        <w:rPr>
          <w:rFonts w:ascii="Century Schoolbook" w:hAnsi="Century Schoolbook"/>
          <w:color w:val="000000" w:themeColor="text1"/>
          <w:sz w:val="24"/>
          <w:szCs w:val="24"/>
        </w:rPr>
        <w:t xml:space="preserve">again </w:t>
      </w:r>
      <w:r w:rsidR="00431696">
        <w:rPr>
          <w:rFonts w:ascii="Century Schoolbook" w:hAnsi="Century Schoolbook"/>
          <w:color w:val="000000" w:themeColor="text1"/>
          <w:sz w:val="24"/>
          <w:szCs w:val="24"/>
        </w:rPr>
        <w:t xml:space="preserve">two months later </w:t>
      </w:r>
      <w:r w:rsidR="00DD12A2" w:rsidRPr="006C6879">
        <w:rPr>
          <w:rFonts w:ascii="Century Schoolbook" w:hAnsi="Century Schoolbook"/>
          <w:color w:val="000000" w:themeColor="text1"/>
          <w:sz w:val="24"/>
          <w:szCs w:val="24"/>
        </w:rPr>
        <w:t xml:space="preserve">in </w:t>
      </w:r>
      <w:r w:rsidR="00FA0CD9" w:rsidRPr="006C6879">
        <w:rPr>
          <w:rFonts w:ascii="Century Schoolbook" w:hAnsi="Century Schoolbook"/>
          <w:color w:val="000000" w:themeColor="text1"/>
          <w:sz w:val="24"/>
          <w:szCs w:val="24"/>
        </w:rPr>
        <w:t>August</w:t>
      </w:r>
      <w:r w:rsidR="00964280">
        <w:rPr>
          <w:rFonts w:ascii="Century Schoolbook" w:hAnsi="Century Schoolbook"/>
          <w:color w:val="000000" w:themeColor="text1"/>
          <w:sz w:val="24"/>
          <w:szCs w:val="24"/>
        </w:rPr>
        <w:t>.</w:t>
      </w:r>
      <w:r w:rsidR="00FA0CD9" w:rsidRPr="006C6879">
        <w:rPr>
          <w:rStyle w:val="FootnoteReference"/>
          <w:rFonts w:ascii="Century Schoolbook" w:hAnsi="Century Schoolbook"/>
          <w:color w:val="000000" w:themeColor="text1"/>
          <w:sz w:val="24"/>
          <w:szCs w:val="24"/>
        </w:rPr>
        <w:footnoteReference w:id="102"/>
      </w:r>
      <w:r w:rsidR="0096454D" w:rsidRPr="006C6879">
        <w:rPr>
          <w:rFonts w:ascii="Century Schoolbook" w:hAnsi="Century Schoolbook" w:cs="Times New Roman"/>
          <w:sz w:val="24"/>
          <w:szCs w:val="24"/>
        </w:rPr>
        <w:t xml:space="preserve"> </w:t>
      </w:r>
    </w:p>
    <w:p w:rsidR="00E90A91" w:rsidRPr="00E90A91" w:rsidRDefault="00AC5460" w:rsidP="0096428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J</w:t>
      </w:r>
      <w:r w:rsidRPr="00E90A91">
        <w:rPr>
          <w:rFonts w:ascii="Century Schoolbook" w:hAnsi="Century Schoolbook" w:cs="Times New Roman"/>
          <w:sz w:val="24"/>
          <w:szCs w:val="24"/>
        </w:rPr>
        <w:t xml:space="preserve">ust as they’d done before the original advertisement </w:t>
      </w:r>
      <w:r>
        <w:rPr>
          <w:rFonts w:ascii="Century Schoolbook" w:hAnsi="Century Schoolbook" w:cs="Times New Roman"/>
          <w:sz w:val="24"/>
          <w:szCs w:val="24"/>
        </w:rPr>
        <w:t xml:space="preserve">of the nine Senior Litigator posts </w:t>
      </w:r>
      <w:r w:rsidRPr="00E90A91">
        <w:rPr>
          <w:rFonts w:ascii="Century Schoolbook" w:hAnsi="Century Schoolbook" w:cs="Times New Roman"/>
          <w:sz w:val="24"/>
          <w:szCs w:val="24"/>
        </w:rPr>
        <w:t xml:space="preserve">in 2007, LASA’s responsible management executives duly </w:t>
      </w:r>
      <w:r w:rsidRPr="00E90A91">
        <w:rPr>
          <w:rFonts w:ascii="Century Schoolbook" w:hAnsi="Century Schoolbook"/>
          <w:color w:val="000000" w:themeColor="text1"/>
          <w:sz w:val="24"/>
          <w:szCs w:val="24"/>
        </w:rPr>
        <w:t xml:space="preserve">‘determined [that] a “real” need exists for the position[s] to be filled before </w:t>
      </w:r>
      <w:r>
        <w:rPr>
          <w:rFonts w:ascii="Century Schoolbook" w:hAnsi="Century Schoolbook"/>
          <w:color w:val="000000" w:themeColor="text1"/>
          <w:sz w:val="24"/>
          <w:szCs w:val="24"/>
        </w:rPr>
        <w:t>[the]</w:t>
      </w:r>
      <w:r w:rsidRPr="00E90A91">
        <w:rPr>
          <w:rFonts w:ascii="Century Schoolbook" w:hAnsi="Century Schoolbook"/>
          <w:color w:val="000000" w:themeColor="text1"/>
          <w:sz w:val="24"/>
          <w:szCs w:val="24"/>
        </w:rPr>
        <w:t xml:space="preserve"> process of recruitment </w:t>
      </w:r>
      <w:r>
        <w:rPr>
          <w:rFonts w:ascii="Century Schoolbook" w:hAnsi="Century Schoolbook"/>
          <w:color w:val="000000" w:themeColor="text1"/>
          <w:sz w:val="24"/>
          <w:szCs w:val="24"/>
        </w:rPr>
        <w:t>[wa</w:t>
      </w:r>
      <w:r w:rsidRPr="00E90A91">
        <w:rPr>
          <w:rFonts w:ascii="Century Schoolbook" w:hAnsi="Century Schoolbook"/>
          <w:color w:val="000000" w:themeColor="text1"/>
          <w:sz w:val="24"/>
          <w:szCs w:val="24"/>
        </w:rPr>
        <w:t>s</w:t>
      </w:r>
      <w:r>
        <w:rPr>
          <w:rFonts w:ascii="Century Schoolbook" w:hAnsi="Century Schoolbook"/>
          <w:color w:val="000000" w:themeColor="text1"/>
          <w:sz w:val="24"/>
          <w:szCs w:val="24"/>
        </w:rPr>
        <w:t>]</w:t>
      </w:r>
      <w:r w:rsidRPr="00E90A91">
        <w:rPr>
          <w:rFonts w:ascii="Century Schoolbook" w:hAnsi="Century Schoolbook"/>
          <w:color w:val="000000" w:themeColor="text1"/>
          <w:sz w:val="24"/>
          <w:szCs w:val="24"/>
        </w:rPr>
        <w:t xml:space="preserve"> initiated’</w:t>
      </w:r>
      <w:r w:rsidRPr="00964280">
        <w:rPr>
          <w:rStyle w:val="FootnoteReference"/>
          <w:rFonts w:ascii="Century Schoolbook" w:hAnsi="Century Schoolbook"/>
          <w:color w:val="000000" w:themeColor="text1"/>
          <w:sz w:val="24"/>
          <w:szCs w:val="24"/>
        </w:rPr>
        <w:footnoteReference w:id="103"/>
      </w:r>
      <w:r>
        <w:rPr>
          <w:rFonts w:ascii="Century Schoolbook" w:hAnsi="Century Schoolbook" w:cs="Times New Roman"/>
          <w:sz w:val="24"/>
          <w:szCs w:val="24"/>
        </w:rPr>
        <w:t xml:space="preserve"> b</w:t>
      </w:r>
      <w:r w:rsidR="00964280" w:rsidRPr="00E90A91">
        <w:rPr>
          <w:rFonts w:ascii="Century Schoolbook" w:hAnsi="Century Schoolbook" w:cs="Times New Roman"/>
          <w:sz w:val="24"/>
          <w:szCs w:val="24"/>
        </w:rPr>
        <w:t>efore readvertising the</w:t>
      </w:r>
      <w:r w:rsidR="00147BF4">
        <w:rPr>
          <w:rFonts w:ascii="Century Schoolbook" w:hAnsi="Century Schoolbook" w:cs="Times New Roman"/>
          <w:sz w:val="24"/>
          <w:szCs w:val="24"/>
        </w:rPr>
        <w:t xml:space="preserve"> Pietermaritzburg and Durban posts</w:t>
      </w:r>
      <w:r w:rsidR="00964280" w:rsidRPr="00E90A91">
        <w:rPr>
          <w:rFonts w:ascii="Century Schoolbook" w:hAnsi="Century Schoolbook" w:cs="Times New Roman"/>
          <w:sz w:val="24"/>
          <w:szCs w:val="24"/>
        </w:rPr>
        <w:t xml:space="preserve"> in 2009, </w:t>
      </w:r>
      <w:r w:rsidR="00964280" w:rsidRPr="00E90A91">
        <w:rPr>
          <w:rFonts w:ascii="Century Schoolbook" w:hAnsi="Century Schoolbook"/>
          <w:color w:val="000000" w:themeColor="text1"/>
          <w:sz w:val="24"/>
          <w:szCs w:val="24"/>
        </w:rPr>
        <w:t xml:space="preserve">in </w:t>
      </w:r>
      <w:r>
        <w:rPr>
          <w:rFonts w:ascii="Century Schoolbook" w:hAnsi="Century Schoolbook"/>
          <w:color w:val="000000" w:themeColor="text1"/>
          <w:sz w:val="24"/>
          <w:szCs w:val="24"/>
        </w:rPr>
        <w:t xml:space="preserve">due </w:t>
      </w:r>
      <w:r w:rsidR="00964280" w:rsidRPr="00E90A91">
        <w:rPr>
          <w:rFonts w:ascii="Century Schoolbook" w:hAnsi="Century Schoolbook"/>
          <w:color w:val="000000" w:themeColor="text1"/>
          <w:sz w:val="24"/>
          <w:szCs w:val="24"/>
        </w:rPr>
        <w:t xml:space="preserve">compliance with their obligation to do so </w:t>
      </w:r>
      <w:r w:rsidR="004F5792">
        <w:rPr>
          <w:rFonts w:ascii="Century Schoolbook" w:hAnsi="Century Schoolbook"/>
          <w:color w:val="000000" w:themeColor="text1"/>
          <w:sz w:val="24"/>
          <w:szCs w:val="24"/>
        </w:rPr>
        <w:t>under</w:t>
      </w:r>
      <w:r w:rsidR="00964280" w:rsidRPr="00E90A91">
        <w:rPr>
          <w:rFonts w:ascii="Century Schoolbook" w:hAnsi="Century Schoolbook"/>
          <w:color w:val="000000" w:themeColor="text1"/>
          <w:sz w:val="24"/>
          <w:szCs w:val="24"/>
        </w:rPr>
        <w:t xml:space="preserve"> section 3.1 of Chapter 2 on ‘Recruitment’ in the</w:t>
      </w:r>
      <w:r w:rsidR="00964280" w:rsidRPr="00E90A91">
        <w:rPr>
          <w:rFonts w:ascii="Century Schoolbook" w:hAnsi="Century Schoolbook" w:cs="Arial"/>
          <w:color w:val="000000" w:themeColor="text1"/>
          <w:sz w:val="24"/>
          <w:szCs w:val="24"/>
        </w:rPr>
        <w:t xml:space="preserve"> </w:t>
      </w:r>
      <w:r w:rsidR="00964280" w:rsidRPr="00E90A91">
        <w:rPr>
          <w:rFonts w:ascii="Century Schoolbook" w:hAnsi="Century Schoolbook"/>
          <w:color w:val="000000" w:themeColor="text1"/>
          <w:sz w:val="24"/>
          <w:szCs w:val="24"/>
        </w:rPr>
        <w:t>Senior Management Services Public Service Handbook</w:t>
      </w:r>
      <w:r w:rsidR="00964280" w:rsidRPr="00964280">
        <w:rPr>
          <w:rStyle w:val="FootnoteReference"/>
          <w:rFonts w:ascii="Century Schoolbook" w:hAnsi="Century Schoolbook"/>
          <w:color w:val="000000" w:themeColor="text1"/>
          <w:sz w:val="24"/>
          <w:szCs w:val="24"/>
        </w:rPr>
        <w:footnoteReference w:id="104"/>
      </w:r>
      <w:r w:rsidR="00964280" w:rsidRPr="00E90A91">
        <w:rPr>
          <w:rFonts w:ascii="Century Schoolbook" w:hAnsi="Century Schoolbook"/>
          <w:color w:val="000000" w:themeColor="text1"/>
          <w:sz w:val="24"/>
          <w:szCs w:val="24"/>
        </w:rPr>
        <w:t xml:space="preserve"> (‘SMS Handbook’) issued by the Department of Public Service and Administration</w:t>
      </w:r>
      <w:r>
        <w:rPr>
          <w:rFonts w:ascii="Century Schoolbook" w:hAnsi="Century Schoolbook"/>
          <w:color w:val="000000" w:themeColor="text1"/>
          <w:sz w:val="24"/>
          <w:szCs w:val="24"/>
        </w:rPr>
        <w:t>.</w:t>
      </w:r>
      <w:r w:rsidR="004F5792">
        <w:rPr>
          <w:rFonts w:ascii="Century Schoolbook" w:hAnsi="Century Schoolbook"/>
          <w:color w:val="000000" w:themeColor="text1"/>
          <w:sz w:val="24"/>
          <w:szCs w:val="24"/>
        </w:rPr>
        <w:t xml:space="preserve"> </w:t>
      </w:r>
      <w:r w:rsidR="00964280" w:rsidRPr="00E90A91">
        <w:rPr>
          <w:rFonts w:ascii="Century Schoolbook" w:hAnsi="Century Schoolbook"/>
          <w:color w:val="000000" w:themeColor="text1"/>
          <w:sz w:val="24"/>
          <w:szCs w:val="24"/>
        </w:rPr>
        <w:t xml:space="preserve">LASA’s own </w:t>
      </w:r>
      <w:r w:rsidR="004E6A77" w:rsidRPr="006C6879">
        <w:rPr>
          <w:rFonts w:ascii="Century Schoolbook" w:hAnsi="Century Schoolbook"/>
          <w:color w:val="000000" w:themeColor="text1"/>
          <w:sz w:val="24"/>
          <w:szCs w:val="24"/>
        </w:rPr>
        <w:t xml:space="preserve">‘Policies and </w:t>
      </w:r>
      <w:r w:rsidR="004E6A77" w:rsidRPr="006C6879">
        <w:rPr>
          <w:rFonts w:ascii="Century Schoolbook" w:hAnsi="Century Schoolbook"/>
          <w:color w:val="000000" w:themeColor="text1"/>
          <w:sz w:val="24"/>
          <w:szCs w:val="24"/>
        </w:rPr>
        <w:lastRenderedPageBreak/>
        <w:t xml:space="preserve">Procedures on </w:t>
      </w:r>
      <w:r w:rsidR="004E6A77" w:rsidRPr="006C6879">
        <w:rPr>
          <w:rFonts w:ascii="Century Schoolbook" w:hAnsi="Century Schoolbook" w:cs="Arial"/>
          <w:color w:val="000000" w:themeColor="text1"/>
          <w:sz w:val="24"/>
          <w:szCs w:val="24"/>
        </w:rPr>
        <w:t xml:space="preserve">Recruitment, </w:t>
      </w:r>
      <w:r w:rsidR="004E6A77" w:rsidRPr="006C6879">
        <w:rPr>
          <w:rFonts w:ascii="Century Schoolbook" w:hAnsi="Century Schoolbook" w:cs="Calibri"/>
          <w:color w:val="000000" w:themeColor="text1"/>
          <w:sz w:val="24"/>
          <w:szCs w:val="24"/>
        </w:rPr>
        <w:t>Induction, Probation and Relocation’</w:t>
      </w:r>
      <w:r w:rsidR="004E6A77" w:rsidRPr="006C6879">
        <w:rPr>
          <w:rStyle w:val="FootnoteReference"/>
          <w:rFonts w:ascii="Century Schoolbook" w:hAnsi="Century Schoolbook" w:cs="Calibri"/>
          <w:color w:val="000000" w:themeColor="text1"/>
          <w:sz w:val="24"/>
          <w:szCs w:val="24"/>
        </w:rPr>
        <w:footnoteReference w:id="105"/>
      </w:r>
      <w:r w:rsidR="004E6A77" w:rsidRPr="006C6879">
        <w:rPr>
          <w:rFonts w:ascii="Century Schoolbook" w:hAnsi="Century Schoolbook" w:cs="Calibri"/>
          <w:color w:val="000000" w:themeColor="text1"/>
          <w:sz w:val="24"/>
          <w:szCs w:val="24"/>
        </w:rPr>
        <w:t xml:space="preserve"> (‘</w:t>
      </w:r>
      <w:r w:rsidR="00964280" w:rsidRPr="00E90A91">
        <w:rPr>
          <w:rFonts w:ascii="Century Schoolbook" w:hAnsi="Century Schoolbook"/>
          <w:color w:val="000000" w:themeColor="text1"/>
          <w:sz w:val="24"/>
          <w:szCs w:val="24"/>
        </w:rPr>
        <w:t>Recruitment code</w:t>
      </w:r>
      <w:r w:rsidR="004E6A77">
        <w:rPr>
          <w:rFonts w:ascii="Century Schoolbook" w:hAnsi="Century Schoolbook"/>
          <w:color w:val="000000" w:themeColor="text1"/>
          <w:sz w:val="24"/>
          <w:szCs w:val="24"/>
        </w:rPr>
        <w:t>’)</w:t>
      </w:r>
      <w:r w:rsidR="00964280" w:rsidRPr="00E90A91">
        <w:rPr>
          <w:rFonts w:ascii="Century Schoolbook" w:hAnsi="Century Schoolbook"/>
          <w:color w:val="000000" w:themeColor="text1"/>
          <w:sz w:val="24"/>
          <w:szCs w:val="24"/>
        </w:rPr>
        <w:t xml:space="preserve"> </w:t>
      </w:r>
      <w:r w:rsidR="00E90A91" w:rsidRPr="00E90A91">
        <w:rPr>
          <w:rFonts w:ascii="Century Schoolbook" w:hAnsi="Century Schoolbook"/>
          <w:color w:val="000000" w:themeColor="text1"/>
          <w:sz w:val="24"/>
          <w:szCs w:val="24"/>
        </w:rPr>
        <w:t>states it</w:t>
      </w:r>
      <w:r w:rsidR="00157272">
        <w:rPr>
          <w:rFonts w:ascii="Century Schoolbook" w:hAnsi="Century Schoolbook"/>
          <w:color w:val="000000" w:themeColor="text1"/>
          <w:sz w:val="24"/>
          <w:szCs w:val="24"/>
        </w:rPr>
        <w:t>s</w:t>
      </w:r>
      <w:r w:rsidR="00E90A91" w:rsidRPr="00E90A91">
        <w:rPr>
          <w:rFonts w:ascii="Century Schoolbook" w:hAnsi="Century Schoolbook"/>
          <w:color w:val="000000" w:themeColor="text1"/>
          <w:sz w:val="24"/>
          <w:szCs w:val="24"/>
        </w:rPr>
        <w:t xml:space="preserve"> </w:t>
      </w:r>
      <w:r w:rsidR="00964280" w:rsidRPr="00E90A91">
        <w:rPr>
          <w:rFonts w:ascii="Century Schoolbook" w:hAnsi="Century Schoolbook"/>
          <w:color w:val="000000" w:themeColor="text1"/>
          <w:sz w:val="24"/>
          <w:szCs w:val="24"/>
        </w:rPr>
        <w:t>conform</w:t>
      </w:r>
      <w:r w:rsidR="00157272">
        <w:rPr>
          <w:rFonts w:ascii="Century Schoolbook" w:hAnsi="Century Schoolbook"/>
          <w:color w:val="000000" w:themeColor="text1"/>
          <w:sz w:val="24"/>
          <w:szCs w:val="24"/>
        </w:rPr>
        <w:t>ity</w:t>
      </w:r>
      <w:r>
        <w:rPr>
          <w:rFonts w:ascii="Century Schoolbook" w:hAnsi="Century Schoolbook"/>
          <w:color w:val="000000" w:themeColor="text1"/>
          <w:sz w:val="24"/>
          <w:szCs w:val="24"/>
        </w:rPr>
        <w:t xml:space="preserve"> with the </w:t>
      </w:r>
      <w:r w:rsidRPr="00E90A91">
        <w:rPr>
          <w:rFonts w:ascii="Century Schoolbook" w:hAnsi="Century Schoolbook"/>
          <w:color w:val="000000" w:themeColor="text1"/>
          <w:sz w:val="24"/>
          <w:szCs w:val="24"/>
        </w:rPr>
        <w:t>SMS Handbook</w:t>
      </w:r>
      <w:r w:rsidR="00E90A91" w:rsidRPr="00E90A91">
        <w:rPr>
          <w:rFonts w:ascii="Century Schoolbook" w:hAnsi="Century Schoolbook"/>
          <w:color w:val="000000" w:themeColor="text1"/>
          <w:sz w:val="24"/>
          <w:szCs w:val="24"/>
        </w:rPr>
        <w:t xml:space="preserve">: </w:t>
      </w:r>
      <w:r w:rsidR="00E90A91" w:rsidRPr="00E90A91">
        <w:rPr>
          <w:rFonts w:ascii="Century Schoolbook" w:hAnsi="Century Schoolbook" w:cs="Times New Roman"/>
          <w:color w:val="222222"/>
          <w:sz w:val="24"/>
          <w:szCs w:val="24"/>
          <w:shd w:val="clear" w:color="auto" w:fill="FFFFFF"/>
        </w:rPr>
        <w:t>‘This policy and procedure aims at ensuring that appropriate recruitment procedures are followed, in line with statutory legislation and business practices</w:t>
      </w:r>
      <w:r w:rsidR="00E90A91" w:rsidRPr="006C6879">
        <w:rPr>
          <w:rStyle w:val="FootnoteReference"/>
          <w:rFonts w:ascii="Century Schoolbook" w:hAnsi="Century Schoolbook" w:cs="Times New Roman"/>
          <w:color w:val="222222"/>
          <w:sz w:val="24"/>
          <w:szCs w:val="24"/>
          <w:shd w:val="clear" w:color="auto" w:fill="FFFFFF"/>
        </w:rPr>
        <w:footnoteReference w:id="106"/>
      </w:r>
      <w:r w:rsidR="00E90A91" w:rsidRPr="00E90A91">
        <w:rPr>
          <w:rFonts w:ascii="Century Schoolbook" w:hAnsi="Century Schoolbook" w:cs="Times New Roman"/>
          <w:color w:val="222222"/>
          <w:sz w:val="24"/>
          <w:szCs w:val="24"/>
          <w:shd w:val="clear" w:color="auto" w:fill="FFFFFF"/>
        </w:rPr>
        <w:t xml:space="preserve"> </w:t>
      </w:r>
      <w:r w:rsidR="00E90A91" w:rsidRPr="00E90A91">
        <w:rPr>
          <w:rFonts w:ascii="Century Schoolbook" w:hAnsi="Century Schoolbook" w:cs="Arial"/>
          <w:color w:val="000000" w:themeColor="text1"/>
          <w:sz w:val="24"/>
          <w:szCs w:val="24"/>
        </w:rPr>
        <w:t xml:space="preserve">… </w:t>
      </w:r>
      <w:r w:rsidR="00E90A91" w:rsidRPr="00E90A91">
        <w:rPr>
          <w:rFonts w:ascii="Century Schoolbook" w:hAnsi="Century Schoolbook" w:cs="Calibri"/>
          <w:color w:val="000000" w:themeColor="text1"/>
          <w:sz w:val="24"/>
          <w:szCs w:val="24"/>
        </w:rPr>
        <w:t>[</w:t>
      </w:r>
      <w:r w:rsidR="004E6A77">
        <w:rPr>
          <w:rFonts w:ascii="Century Schoolbook" w:hAnsi="Century Schoolbook" w:cs="Calibri"/>
          <w:color w:val="000000" w:themeColor="text1"/>
          <w:sz w:val="24"/>
          <w:szCs w:val="24"/>
        </w:rPr>
        <w:t>It</w:t>
      </w:r>
      <w:r w:rsidR="00E90A91" w:rsidRPr="00E90A91">
        <w:rPr>
          <w:rFonts w:ascii="Century Schoolbook" w:hAnsi="Century Schoolbook" w:cs="Calibri"/>
          <w:color w:val="000000" w:themeColor="text1"/>
          <w:sz w:val="24"/>
          <w:szCs w:val="24"/>
        </w:rPr>
        <w:t>] provides the Legal Aid Board with clear guidelines to be followed when a vacancy exists.’</w:t>
      </w:r>
      <w:r w:rsidR="00E90A91" w:rsidRPr="006C6879">
        <w:rPr>
          <w:rStyle w:val="FootnoteReference"/>
          <w:rFonts w:ascii="Century Schoolbook" w:hAnsi="Century Schoolbook" w:cs="Calibri"/>
          <w:color w:val="000000" w:themeColor="text1"/>
          <w:sz w:val="24"/>
          <w:szCs w:val="24"/>
        </w:rPr>
        <w:footnoteReference w:id="107"/>
      </w:r>
    </w:p>
    <w:p w:rsidR="00487AEA" w:rsidRPr="00487AEA" w:rsidRDefault="00E90A91" w:rsidP="0096428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B34CDC">
        <w:rPr>
          <w:rFonts w:ascii="Century Schoolbook" w:hAnsi="Century Schoolbook" w:cs="Times New Roman"/>
          <w:sz w:val="24"/>
          <w:szCs w:val="24"/>
        </w:rPr>
        <w:t>S</w:t>
      </w:r>
      <w:r w:rsidR="00964280" w:rsidRPr="00B34CDC">
        <w:rPr>
          <w:rFonts w:ascii="Century Schoolbook" w:hAnsi="Century Schoolbook"/>
          <w:color w:val="000000" w:themeColor="text1"/>
          <w:sz w:val="24"/>
          <w:szCs w:val="24"/>
        </w:rPr>
        <w:t xml:space="preserve">ection 3.3 of the SMS Handbook requires that such </w:t>
      </w:r>
      <w:r w:rsidR="00147BF4">
        <w:rPr>
          <w:rFonts w:ascii="Century Schoolbook" w:hAnsi="Century Schoolbook"/>
          <w:color w:val="000000" w:themeColor="text1"/>
          <w:sz w:val="24"/>
          <w:szCs w:val="24"/>
        </w:rPr>
        <w:t xml:space="preserve">responsible management </w:t>
      </w:r>
      <w:r w:rsidR="00964280" w:rsidRPr="00B34CDC">
        <w:rPr>
          <w:rFonts w:ascii="Century Schoolbook" w:hAnsi="Century Schoolbook"/>
          <w:color w:val="000000" w:themeColor="text1"/>
          <w:sz w:val="24"/>
          <w:szCs w:val="24"/>
        </w:rPr>
        <w:t>executives ensure that ‘the position is budgeted for’</w:t>
      </w:r>
      <w:r w:rsidR="00964280" w:rsidRPr="00964280">
        <w:rPr>
          <w:rStyle w:val="FootnoteReference"/>
          <w:rFonts w:ascii="Century Schoolbook" w:hAnsi="Century Schoolbook"/>
          <w:color w:val="000000" w:themeColor="text1"/>
          <w:sz w:val="24"/>
          <w:szCs w:val="24"/>
        </w:rPr>
        <w:footnoteReference w:id="108"/>
      </w:r>
      <w:r w:rsidR="00964280" w:rsidRPr="00B34CDC">
        <w:rPr>
          <w:rFonts w:ascii="Century Schoolbook" w:hAnsi="Century Schoolbook"/>
          <w:color w:val="000000" w:themeColor="text1"/>
          <w:sz w:val="24"/>
          <w:szCs w:val="24"/>
        </w:rPr>
        <w:t xml:space="preserve"> </w:t>
      </w:r>
      <w:r w:rsidRPr="00B34CDC">
        <w:rPr>
          <w:rFonts w:ascii="Century Schoolbook" w:hAnsi="Century Schoolbook"/>
          <w:color w:val="000000" w:themeColor="text1"/>
          <w:sz w:val="24"/>
          <w:szCs w:val="24"/>
        </w:rPr>
        <w:t xml:space="preserve">and </w:t>
      </w:r>
      <w:r w:rsidR="00F76E43" w:rsidRPr="00B34CDC">
        <w:rPr>
          <w:rFonts w:ascii="Century Schoolbook" w:hAnsi="Century Schoolbook"/>
          <w:color w:val="000000" w:themeColor="text1"/>
          <w:sz w:val="24"/>
          <w:szCs w:val="24"/>
        </w:rPr>
        <w:t>Note 17</w:t>
      </w:r>
      <w:r w:rsidR="00F76E43">
        <w:rPr>
          <w:rFonts w:ascii="Century Schoolbook" w:hAnsi="Century Schoolbook"/>
          <w:color w:val="000000" w:themeColor="text1"/>
          <w:sz w:val="24"/>
          <w:szCs w:val="24"/>
        </w:rPr>
        <w:t xml:space="preserve"> of </w:t>
      </w:r>
      <w:r w:rsidR="009D7FB1" w:rsidRPr="00B34CDC">
        <w:rPr>
          <w:rFonts w:ascii="Century Schoolbook" w:hAnsi="Century Schoolbook"/>
          <w:color w:val="000000" w:themeColor="text1"/>
          <w:sz w:val="24"/>
          <w:szCs w:val="24"/>
        </w:rPr>
        <w:t>LASA’s Approval Framework applicable</w:t>
      </w:r>
      <w:r w:rsidR="009D7FB1">
        <w:rPr>
          <w:rFonts w:ascii="Century Schoolbook" w:hAnsi="Century Schoolbook"/>
          <w:color w:val="000000" w:themeColor="text1"/>
          <w:sz w:val="24"/>
          <w:szCs w:val="24"/>
        </w:rPr>
        <w:t xml:space="preserve"> at the time mandat</w:t>
      </w:r>
      <w:r w:rsidR="009D7FB1" w:rsidRPr="00B34CDC">
        <w:rPr>
          <w:rFonts w:ascii="Century Schoolbook" w:hAnsi="Century Schoolbook"/>
          <w:color w:val="000000" w:themeColor="text1"/>
          <w:sz w:val="24"/>
          <w:szCs w:val="24"/>
        </w:rPr>
        <w:t>e</w:t>
      </w:r>
      <w:r w:rsidR="009D7FB1">
        <w:rPr>
          <w:rFonts w:ascii="Century Schoolbook" w:hAnsi="Century Schoolbook"/>
          <w:color w:val="000000" w:themeColor="text1"/>
          <w:sz w:val="24"/>
          <w:szCs w:val="24"/>
        </w:rPr>
        <w:t>d</w:t>
      </w:r>
      <w:r w:rsidR="009D7FB1" w:rsidRPr="00B34CDC">
        <w:rPr>
          <w:rFonts w:ascii="Century Schoolbook" w:hAnsi="Century Schoolbook"/>
          <w:color w:val="000000" w:themeColor="text1"/>
          <w:sz w:val="24"/>
          <w:szCs w:val="24"/>
        </w:rPr>
        <w:t xml:space="preserve"> consistently</w:t>
      </w:r>
      <w:r w:rsidR="00964280" w:rsidRPr="00B34CDC">
        <w:rPr>
          <w:rFonts w:ascii="Century Schoolbook" w:hAnsi="Century Schoolbook"/>
          <w:color w:val="000000" w:themeColor="text1"/>
          <w:sz w:val="24"/>
          <w:szCs w:val="24"/>
        </w:rPr>
        <w:t>: ‘It is the responsibility of the line function Executive to ensure that such [appointment] is provided for in the budget and MTEF and that a vacancy exists in respect of the post concerned.’</w:t>
      </w:r>
      <w:r w:rsidR="00964280" w:rsidRPr="00964280">
        <w:rPr>
          <w:rStyle w:val="FootnoteReference"/>
          <w:rFonts w:ascii="Century Schoolbook" w:hAnsi="Century Schoolbook"/>
          <w:color w:val="000000" w:themeColor="text1"/>
          <w:sz w:val="24"/>
          <w:szCs w:val="24"/>
        </w:rPr>
        <w:footnoteReference w:id="109"/>
      </w:r>
      <w:r w:rsidR="00964280" w:rsidRPr="00B34CDC">
        <w:rPr>
          <w:rFonts w:ascii="Century Schoolbook" w:hAnsi="Century Schoolbook"/>
          <w:color w:val="000000" w:themeColor="text1"/>
          <w:sz w:val="24"/>
          <w:szCs w:val="24"/>
        </w:rPr>
        <w:t xml:space="preserve"> </w:t>
      </w:r>
    </w:p>
    <w:p w:rsidR="00964280" w:rsidRPr="00B34CDC" w:rsidRDefault="009D7FB1" w:rsidP="0096428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olor w:val="000000" w:themeColor="text1"/>
          <w:sz w:val="24"/>
          <w:szCs w:val="24"/>
        </w:rPr>
        <w:t>T</w:t>
      </w:r>
      <w:r w:rsidR="00964280" w:rsidRPr="00431696">
        <w:rPr>
          <w:rFonts w:ascii="Century Schoolbook" w:hAnsi="Century Schoolbook"/>
          <w:color w:val="000000" w:themeColor="text1"/>
          <w:sz w:val="24"/>
          <w:szCs w:val="24"/>
        </w:rPr>
        <w:t>he ‘line function Executive’</w:t>
      </w:r>
      <w:r w:rsidR="00431696" w:rsidRPr="00431696">
        <w:rPr>
          <w:rStyle w:val="FootnoteReference"/>
          <w:rFonts w:ascii="Century Schoolbook" w:hAnsi="Century Schoolbook"/>
          <w:color w:val="000000" w:themeColor="text1"/>
          <w:sz w:val="24"/>
          <w:szCs w:val="24"/>
        </w:rPr>
        <w:footnoteReference w:id="110"/>
      </w:r>
      <w:r w:rsidR="001F19DC">
        <w:rPr>
          <w:rFonts w:ascii="Century Schoolbook" w:hAnsi="Century Schoolbook"/>
          <w:color w:val="000000" w:themeColor="text1"/>
          <w:sz w:val="24"/>
          <w:szCs w:val="24"/>
        </w:rPr>
        <w:t xml:space="preserve"> </w:t>
      </w:r>
      <w:r w:rsidR="003C636F" w:rsidRPr="00431696">
        <w:rPr>
          <w:rFonts w:ascii="Century Schoolbook" w:hAnsi="Century Schoolbook"/>
          <w:color w:val="000000" w:themeColor="text1"/>
          <w:sz w:val="24"/>
          <w:szCs w:val="24"/>
        </w:rPr>
        <w:t xml:space="preserve">in regard to Senior Litigator </w:t>
      </w:r>
      <w:r w:rsidR="00085491" w:rsidRPr="00431696">
        <w:rPr>
          <w:rFonts w:ascii="Century Schoolbook" w:hAnsi="Century Schoolbook"/>
          <w:color w:val="000000" w:themeColor="text1"/>
          <w:sz w:val="24"/>
          <w:szCs w:val="24"/>
        </w:rPr>
        <w:t>posts</w:t>
      </w:r>
      <w:r w:rsidR="00431696" w:rsidRPr="00431696">
        <w:rPr>
          <w:rFonts w:ascii="Century Schoolbook" w:hAnsi="Century Schoolbook"/>
          <w:color w:val="000000" w:themeColor="text1"/>
          <w:sz w:val="24"/>
          <w:szCs w:val="24"/>
        </w:rPr>
        <w:t xml:space="preserve"> </w:t>
      </w:r>
      <w:r>
        <w:rPr>
          <w:rFonts w:ascii="Century Schoolbook" w:hAnsi="Century Schoolbook"/>
          <w:color w:val="000000" w:themeColor="text1"/>
          <w:sz w:val="24"/>
          <w:szCs w:val="24"/>
        </w:rPr>
        <w:t xml:space="preserve">is </w:t>
      </w:r>
      <w:r w:rsidRPr="00431696">
        <w:rPr>
          <w:rFonts w:ascii="Century Schoolbook" w:hAnsi="Century Schoolbook"/>
          <w:color w:val="000000" w:themeColor="text1"/>
          <w:sz w:val="24"/>
          <w:szCs w:val="24"/>
        </w:rPr>
        <w:t>NOE Nair</w:t>
      </w:r>
      <w:r>
        <w:rPr>
          <w:rFonts w:ascii="Century Schoolbook" w:hAnsi="Century Schoolbook"/>
          <w:color w:val="000000" w:themeColor="text1"/>
          <w:sz w:val="24"/>
          <w:szCs w:val="24"/>
        </w:rPr>
        <w:t xml:space="preserve">, </w:t>
      </w:r>
      <w:r w:rsidR="00966861" w:rsidRPr="00431696">
        <w:rPr>
          <w:rStyle w:val="HeaderChar"/>
          <w:rFonts w:ascii="Century Schoolbook" w:hAnsi="Century Schoolbook"/>
          <w:sz w:val="24"/>
          <w:szCs w:val="24"/>
        </w:rPr>
        <w:t>a</w:t>
      </w:r>
      <w:r w:rsidR="00964280" w:rsidRPr="00431696">
        <w:rPr>
          <w:rFonts w:ascii="Century Schoolbook" w:hAnsi="Century Schoolbook"/>
          <w:color w:val="000000" w:themeColor="text1"/>
          <w:sz w:val="24"/>
          <w:szCs w:val="24"/>
        </w:rPr>
        <w:t xml:space="preserve">nd before the </w:t>
      </w:r>
      <w:r w:rsidR="00085491" w:rsidRPr="00431696">
        <w:rPr>
          <w:rFonts w:ascii="Century Schoolbook" w:hAnsi="Century Schoolbook"/>
          <w:color w:val="000000" w:themeColor="text1"/>
          <w:sz w:val="24"/>
          <w:szCs w:val="24"/>
        </w:rPr>
        <w:t xml:space="preserve">recruitment processes for the </w:t>
      </w:r>
      <w:r w:rsidR="00964280" w:rsidRPr="00431696">
        <w:rPr>
          <w:rFonts w:ascii="Century Schoolbook" w:hAnsi="Century Schoolbook"/>
          <w:color w:val="000000" w:themeColor="text1"/>
          <w:sz w:val="24"/>
          <w:szCs w:val="24"/>
        </w:rPr>
        <w:t xml:space="preserve">Pietermaritzburg and Durban Senior Litigator </w:t>
      </w:r>
      <w:r w:rsidR="00B34CDC" w:rsidRPr="00431696">
        <w:rPr>
          <w:rFonts w:ascii="Century Schoolbook" w:hAnsi="Century Schoolbook"/>
          <w:color w:val="000000" w:themeColor="text1"/>
          <w:sz w:val="24"/>
          <w:szCs w:val="24"/>
        </w:rPr>
        <w:t>were</w:t>
      </w:r>
      <w:r w:rsidR="00964280" w:rsidRPr="00431696">
        <w:rPr>
          <w:rFonts w:ascii="Century Schoolbook" w:hAnsi="Century Schoolbook"/>
          <w:color w:val="000000" w:themeColor="text1"/>
          <w:sz w:val="24"/>
          <w:szCs w:val="24"/>
        </w:rPr>
        <w:t xml:space="preserve"> recommenced in 2009, he </w:t>
      </w:r>
      <w:r w:rsidR="00085491" w:rsidRPr="00431696">
        <w:rPr>
          <w:rFonts w:ascii="Century Schoolbook" w:hAnsi="Century Schoolbook"/>
          <w:color w:val="000000" w:themeColor="text1"/>
          <w:sz w:val="24"/>
          <w:szCs w:val="24"/>
        </w:rPr>
        <w:t xml:space="preserve">would have </w:t>
      </w:r>
      <w:r w:rsidR="00F76E43">
        <w:rPr>
          <w:rFonts w:ascii="Century Schoolbook" w:hAnsi="Century Schoolbook"/>
          <w:color w:val="000000" w:themeColor="text1"/>
          <w:sz w:val="24"/>
          <w:szCs w:val="24"/>
        </w:rPr>
        <w:t xml:space="preserve">duly </w:t>
      </w:r>
      <w:r w:rsidR="00964280" w:rsidRPr="00431696">
        <w:rPr>
          <w:rFonts w:ascii="Century Schoolbook" w:hAnsi="Century Schoolbook"/>
          <w:color w:val="000000" w:themeColor="text1"/>
          <w:sz w:val="24"/>
          <w:szCs w:val="24"/>
        </w:rPr>
        <w:t>confirmed that the two post</w:t>
      </w:r>
      <w:r w:rsidR="004F5792" w:rsidRPr="00431696">
        <w:rPr>
          <w:rFonts w:ascii="Century Schoolbook" w:hAnsi="Century Schoolbook"/>
          <w:color w:val="000000" w:themeColor="text1"/>
          <w:sz w:val="24"/>
          <w:szCs w:val="24"/>
        </w:rPr>
        <w:t>s</w:t>
      </w:r>
      <w:r w:rsidR="00964280" w:rsidRPr="00431696">
        <w:rPr>
          <w:rFonts w:ascii="Century Schoolbook" w:hAnsi="Century Schoolbook"/>
          <w:color w:val="000000" w:themeColor="text1"/>
          <w:sz w:val="24"/>
          <w:szCs w:val="24"/>
        </w:rPr>
        <w:t xml:space="preserve"> had been</w:t>
      </w:r>
      <w:r w:rsidR="00964280" w:rsidRPr="00B34CDC">
        <w:rPr>
          <w:rFonts w:ascii="Century Schoolbook" w:hAnsi="Century Schoolbook"/>
          <w:color w:val="000000" w:themeColor="text1"/>
          <w:sz w:val="24"/>
          <w:szCs w:val="24"/>
        </w:rPr>
        <w:t xml:space="preserve"> budgeted for</w:t>
      </w:r>
      <w:r w:rsidR="00B34CDC">
        <w:rPr>
          <w:rFonts w:ascii="Century Schoolbook" w:hAnsi="Century Schoolbook"/>
          <w:color w:val="000000" w:themeColor="text1"/>
          <w:sz w:val="24"/>
          <w:szCs w:val="24"/>
        </w:rPr>
        <w:t xml:space="preserve"> –</w:t>
      </w:r>
      <w:r w:rsidR="00964280" w:rsidRPr="00B34CDC">
        <w:rPr>
          <w:rFonts w:ascii="Century Schoolbook" w:hAnsi="Century Schoolbook"/>
          <w:color w:val="000000" w:themeColor="text1"/>
          <w:sz w:val="24"/>
          <w:szCs w:val="24"/>
        </w:rPr>
        <w:t xml:space="preserve"> as indeed</w:t>
      </w:r>
      <w:r w:rsidR="003C636F" w:rsidRPr="003C636F">
        <w:rPr>
          <w:rFonts w:ascii="Century Schoolbook" w:hAnsi="Century Schoolbook"/>
          <w:color w:val="000000" w:themeColor="text1"/>
          <w:sz w:val="24"/>
          <w:szCs w:val="24"/>
        </w:rPr>
        <w:t xml:space="preserve"> </w:t>
      </w:r>
      <w:r w:rsidR="003C636F" w:rsidRPr="00B34CDC">
        <w:rPr>
          <w:rFonts w:ascii="Century Schoolbook" w:hAnsi="Century Schoolbook"/>
          <w:color w:val="000000" w:themeColor="text1"/>
          <w:sz w:val="24"/>
          <w:szCs w:val="24"/>
        </w:rPr>
        <w:t>LASA’s recruitment/vacancy/budget statistics for November 2009</w:t>
      </w:r>
      <w:r w:rsidR="003C636F" w:rsidRPr="00964280">
        <w:rPr>
          <w:rStyle w:val="FootnoteReference"/>
          <w:rFonts w:ascii="Century Schoolbook" w:hAnsi="Century Schoolbook"/>
          <w:color w:val="000000" w:themeColor="text1"/>
          <w:sz w:val="24"/>
          <w:szCs w:val="24"/>
        </w:rPr>
        <w:footnoteReference w:id="111"/>
      </w:r>
      <w:r w:rsidR="00B34CDC">
        <w:rPr>
          <w:rFonts w:ascii="Century Schoolbook" w:hAnsi="Century Schoolbook"/>
          <w:color w:val="000000" w:themeColor="text1"/>
          <w:sz w:val="24"/>
          <w:szCs w:val="24"/>
        </w:rPr>
        <w:t xml:space="preserve"> </w:t>
      </w:r>
      <w:r w:rsidR="00085491">
        <w:rPr>
          <w:rFonts w:ascii="Century Schoolbook" w:hAnsi="Century Schoolbook"/>
          <w:color w:val="000000" w:themeColor="text1"/>
          <w:sz w:val="24"/>
          <w:szCs w:val="24"/>
        </w:rPr>
        <w:t>show they were.</w:t>
      </w:r>
    </w:p>
    <w:p w:rsidR="00B34CDC" w:rsidRDefault="00F76E43" w:rsidP="00AA325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 xml:space="preserve">Four of the </w:t>
      </w:r>
      <w:r w:rsidR="00147BF4">
        <w:rPr>
          <w:rFonts w:ascii="Century Schoolbook" w:hAnsi="Century Schoolbook" w:cs="Times New Roman"/>
          <w:sz w:val="24"/>
          <w:szCs w:val="24"/>
        </w:rPr>
        <w:t>candidates attracted by the re</w:t>
      </w:r>
      <w:r w:rsidR="00EC5A62">
        <w:rPr>
          <w:rFonts w:ascii="Century Schoolbook" w:hAnsi="Century Schoolbook" w:cs="Times New Roman"/>
          <w:sz w:val="24"/>
          <w:szCs w:val="24"/>
        </w:rPr>
        <w:t>-</w:t>
      </w:r>
      <w:r w:rsidR="00147BF4">
        <w:rPr>
          <w:rFonts w:ascii="Century Schoolbook" w:hAnsi="Century Schoolbook" w:cs="Times New Roman"/>
          <w:sz w:val="24"/>
          <w:szCs w:val="24"/>
        </w:rPr>
        <w:t>advertisement</w:t>
      </w:r>
      <w:r w:rsidR="003C636F">
        <w:rPr>
          <w:rFonts w:ascii="Century Schoolbook" w:hAnsi="Century Schoolbook" w:cs="Times New Roman"/>
          <w:sz w:val="24"/>
          <w:szCs w:val="24"/>
        </w:rPr>
        <w:t xml:space="preserve"> of</w:t>
      </w:r>
      <w:r w:rsidR="00147BF4">
        <w:rPr>
          <w:rFonts w:ascii="Century Schoolbook" w:hAnsi="Century Schoolbook" w:cs="Times New Roman"/>
          <w:sz w:val="24"/>
          <w:szCs w:val="24"/>
        </w:rPr>
        <w:t xml:space="preserve"> the Pietermaritzburg and Durban </w:t>
      </w:r>
      <w:r w:rsidR="003C636F" w:rsidRPr="00B34CDC">
        <w:rPr>
          <w:rFonts w:ascii="Century Schoolbook" w:hAnsi="Century Schoolbook"/>
          <w:color w:val="000000" w:themeColor="text1"/>
          <w:sz w:val="24"/>
          <w:szCs w:val="24"/>
        </w:rPr>
        <w:t xml:space="preserve">Senior Litigator </w:t>
      </w:r>
      <w:r w:rsidR="00147BF4">
        <w:rPr>
          <w:rFonts w:ascii="Century Schoolbook" w:hAnsi="Century Schoolbook" w:cs="Times New Roman"/>
          <w:sz w:val="24"/>
          <w:szCs w:val="24"/>
        </w:rPr>
        <w:t>posts</w:t>
      </w:r>
      <w:r w:rsidR="003C636F">
        <w:rPr>
          <w:rFonts w:ascii="Century Schoolbook" w:hAnsi="Century Schoolbook" w:cs="Times New Roman"/>
          <w:sz w:val="24"/>
          <w:szCs w:val="24"/>
        </w:rPr>
        <w:t xml:space="preserve"> in 2009</w:t>
      </w:r>
      <w:r w:rsidR="00147BF4">
        <w:rPr>
          <w:rFonts w:ascii="Century Schoolbook" w:hAnsi="Century Schoolbook" w:cs="Times New Roman"/>
          <w:sz w:val="24"/>
          <w:szCs w:val="24"/>
        </w:rPr>
        <w:t xml:space="preserve"> </w:t>
      </w:r>
      <w:r w:rsidR="00C149AD" w:rsidRPr="006C6879">
        <w:rPr>
          <w:rFonts w:ascii="Century Schoolbook" w:hAnsi="Century Schoolbook" w:cs="Times New Roman"/>
          <w:sz w:val="24"/>
          <w:szCs w:val="24"/>
        </w:rPr>
        <w:t>were</w:t>
      </w:r>
      <w:r w:rsidR="00964280" w:rsidRPr="00964280">
        <w:rPr>
          <w:rFonts w:ascii="Century Schoolbook" w:hAnsi="Century Schoolbook" w:cs="Times New Roman"/>
          <w:sz w:val="24"/>
          <w:szCs w:val="24"/>
        </w:rPr>
        <w:t xml:space="preserve"> </w:t>
      </w:r>
      <w:r w:rsidR="00964280" w:rsidRPr="006C6879">
        <w:rPr>
          <w:rFonts w:ascii="Century Schoolbook" w:hAnsi="Century Schoolbook" w:cs="Times New Roman"/>
          <w:sz w:val="24"/>
          <w:szCs w:val="24"/>
        </w:rPr>
        <w:t>shortlis</w:t>
      </w:r>
      <w:r w:rsidR="00964280" w:rsidRPr="00CB0433">
        <w:rPr>
          <w:rFonts w:ascii="Century Schoolbook" w:hAnsi="Century Schoolbook" w:cs="Times New Roman"/>
          <w:sz w:val="24"/>
          <w:szCs w:val="24"/>
        </w:rPr>
        <w:t>ted</w:t>
      </w:r>
      <w:r w:rsidR="0022016A">
        <w:rPr>
          <w:rFonts w:ascii="Century Schoolbook" w:hAnsi="Century Schoolbook" w:cs="Times New Roman"/>
          <w:sz w:val="24"/>
          <w:szCs w:val="24"/>
        </w:rPr>
        <w:t>;</w:t>
      </w:r>
      <w:r w:rsidR="00CB0433" w:rsidRPr="00CB0433">
        <w:rPr>
          <w:rStyle w:val="FootnoteReference"/>
          <w:rFonts w:ascii="Century Schoolbook" w:hAnsi="Century Schoolbook"/>
          <w:color w:val="000000" w:themeColor="text1"/>
          <w:sz w:val="24"/>
          <w:szCs w:val="24"/>
        </w:rPr>
        <w:footnoteReference w:id="112"/>
      </w:r>
      <w:r w:rsidR="00CB0433" w:rsidRPr="00CB0433">
        <w:rPr>
          <w:rFonts w:ascii="Century Schoolbook" w:hAnsi="Century Schoolbook" w:cs="Times New Roman"/>
          <w:sz w:val="24"/>
          <w:szCs w:val="24"/>
        </w:rPr>
        <w:t xml:space="preserve"> </w:t>
      </w:r>
      <w:r w:rsidR="00964280">
        <w:rPr>
          <w:rFonts w:ascii="Century Schoolbook" w:hAnsi="Century Schoolbook" w:cs="Times New Roman"/>
          <w:sz w:val="24"/>
          <w:szCs w:val="24"/>
        </w:rPr>
        <w:t xml:space="preserve">and </w:t>
      </w:r>
      <w:r w:rsidR="00964280" w:rsidRPr="006C6879">
        <w:rPr>
          <w:rFonts w:ascii="Century Schoolbook" w:hAnsi="Century Schoolbook" w:cs="Times New Roman"/>
          <w:sz w:val="24"/>
          <w:szCs w:val="24"/>
        </w:rPr>
        <w:t>on 12</w:t>
      </w:r>
      <w:r w:rsidR="00E93CF4">
        <w:rPr>
          <w:rFonts w:ascii="Century Schoolbook" w:hAnsi="Century Schoolbook" w:cs="Times New Roman"/>
          <w:sz w:val="24"/>
          <w:szCs w:val="24"/>
        </w:rPr>
        <w:t xml:space="preserve"> </w:t>
      </w:r>
      <w:r w:rsidR="00964280" w:rsidRPr="006C6879">
        <w:rPr>
          <w:rFonts w:ascii="Century Schoolbook" w:hAnsi="Century Schoolbook" w:cs="Times New Roman"/>
          <w:sz w:val="24"/>
          <w:szCs w:val="24"/>
        </w:rPr>
        <w:t>November 2009</w:t>
      </w:r>
      <w:r w:rsidR="0022016A">
        <w:rPr>
          <w:rStyle w:val="FootnoteReference"/>
          <w:rFonts w:ascii="Century Schoolbook" w:hAnsi="Century Schoolbook" w:cs="Times New Roman"/>
          <w:sz w:val="24"/>
          <w:szCs w:val="24"/>
        </w:rPr>
        <w:footnoteReference w:id="113"/>
      </w:r>
      <w:r w:rsidR="00964280">
        <w:rPr>
          <w:rFonts w:ascii="Century Schoolbook" w:hAnsi="Century Schoolbook" w:cs="Times New Roman"/>
          <w:sz w:val="24"/>
          <w:szCs w:val="24"/>
        </w:rPr>
        <w:t xml:space="preserve"> they</w:t>
      </w:r>
      <w:r w:rsidR="00A961F8" w:rsidRPr="006C6879">
        <w:rPr>
          <w:rFonts w:ascii="Century Schoolbook" w:hAnsi="Century Schoolbook" w:cs="Times New Roman"/>
          <w:sz w:val="24"/>
          <w:szCs w:val="24"/>
        </w:rPr>
        <w:t xml:space="preserve"> </w:t>
      </w:r>
      <w:r w:rsidR="001C43EA">
        <w:rPr>
          <w:rFonts w:ascii="Century Schoolbook" w:hAnsi="Century Schoolbook" w:cs="Times New Roman"/>
          <w:sz w:val="24"/>
          <w:szCs w:val="24"/>
        </w:rPr>
        <w:t xml:space="preserve">were </w:t>
      </w:r>
      <w:r w:rsidR="00A80519" w:rsidRPr="006C6879">
        <w:rPr>
          <w:rFonts w:ascii="Century Schoolbook" w:hAnsi="Century Schoolbook" w:cs="Times New Roman"/>
          <w:sz w:val="24"/>
          <w:szCs w:val="24"/>
        </w:rPr>
        <w:t xml:space="preserve">duly interviewed by a </w:t>
      </w:r>
      <w:r w:rsidR="001B186A" w:rsidRPr="006C6879">
        <w:rPr>
          <w:rFonts w:ascii="Century Schoolbook" w:hAnsi="Century Schoolbook" w:cs="Times New Roman"/>
          <w:sz w:val="24"/>
          <w:szCs w:val="24"/>
        </w:rPr>
        <w:t xml:space="preserve">duly </w:t>
      </w:r>
      <w:r w:rsidR="002772FD" w:rsidRPr="006C6879">
        <w:rPr>
          <w:rFonts w:ascii="Century Schoolbook" w:hAnsi="Century Schoolbook" w:cs="Times New Roman"/>
          <w:sz w:val="24"/>
          <w:szCs w:val="24"/>
        </w:rPr>
        <w:t>constituted selection panel of LASA’s most senior lawyers in the region</w:t>
      </w:r>
      <w:r w:rsidR="001C43EA">
        <w:rPr>
          <w:rFonts w:ascii="Century Schoolbook" w:hAnsi="Century Schoolbook" w:cs="Times New Roman"/>
          <w:sz w:val="24"/>
          <w:szCs w:val="24"/>
        </w:rPr>
        <w:t>,</w:t>
      </w:r>
      <w:r w:rsidR="00964280">
        <w:rPr>
          <w:rStyle w:val="FootnoteReference"/>
          <w:rFonts w:ascii="Century Schoolbook" w:hAnsi="Century Schoolbook" w:cs="Times New Roman"/>
          <w:sz w:val="24"/>
          <w:szCs w:val="24"/>
        </w:rPr>
        <w:footnoteReference w:id="114"/>
      </w:r>
      <w:r w:rsidR="00A961F8" w:rsidRPr="006C6879">
        <w:rPr>
          <w:rFonts w:ascii="Century Schoolbook" w:hAnsi="Century Schoolbook" w:cs="Times New Roman"/>
          <w:sz w:val="24"/>
          <w:szCs w:val="24"/>
        </w:rPr>
        <w:t xml:space="preserve"> </w:t>
      </w:r>
      <w:r w:rsidR="001C43EA">
        <w:rPr>
          <w:rFonts w:ascii="Century Schoolbook" w:hAnsi="Century Schoolbook" w:cs="Times New Roman"/>
          <w:sz w:val="24"/>
          <w:szCs w:val="24"/>
        </w:rPr>
        <w:t xml:space="preserve">following which </w:t>
      </w:r>
      <w:r w:rsidR="001C43EA" w:rsidRPr="006C6879">
        <w:rPr>
          <w:rFonts w:ascii="Century Schoolbook" w:hAnsi="Century Schoolbook" w:cs="Times New Roman"/>
          <w:sz w:val="24"/>
          <w:szCs w:val="24"/>
        </w:rPr>
        <w:t>two suitably qualified and experienced candidates</w:t>
      </w:r>
      <w:r w:rsidR="001C43EA">
        <w:rPr>
          <w:rFonts w:ascii="Century Schoolbook" w:hAnsi="Century Schoolbook" w:cs="Times New Roman"/>
          <w:sz w:val="24"/>
          <w:szCs w:val="24"/>
        </w:rPr>
        <w:t xml:space="preserve"> were </w:t>
      </w:r>
      <w:r>
        <w:rPr>
          <w:rFonts w:ascii="Century Schoolbook" w:hAnsi="Century Schoolbook" w:cs="Times New Roman"/>
          <w:sz w:val="24"/>
          <w:szCs w:val="24"/>
        </w:rPr>
        <w:t xml:space="preserve">duly and </w:t>
      </w:r>
      <w:r w:rsidR="00E05651">
        <w:rPr>
          <w:rFonts w:ascii="Century Schoolbook" w:hAnsi="Century Schoolbook" w:cs="Times New Roman"/>
          <w:sz w:val="24"/>
          <w:szCs w:val="24"/>
        </w:rPr>
        <w:t xml:space="preserve">unanimously </w:t>
      </w:r>
      <w:r w:rsidR="00A80519" w:rsidRPr="006C6879">
        <w:rPr>
          <w:rFonts w:ascii="Century Schoolbook" w:hAnsi="Century Schoolbook" w:cs="Times New Roman"/>
          <w:sz w:val="24"/>
          <w:szCs w:val="24"/>
        </w:rPr>
        <w:lastRenderedPageBreak/>
        <w:t>selected and recommended</w:t>
      </w:r>
      <w:r w:rsidR="00CD154F">
        <w:rPr>
          <w:rFonts w:ascii="Century Schoolbook" w:hAnsi="Century Schoolbook" w:cs="Times New Roman"/>
          <w:sz w:val="24"/>
          <w:szCs w:val="24"/>
        </w:rPr>
        <w:t xml:space="preserve"> by the panel</w:t>
      </w:r>
      <w:r w:rsidR="001C43EA">
        <w:rPr>
          <w:rFonts w:ascii="Century Schoolbook" w:hAnsi="Century Schoolbook" w:cs="Times New Roman"/>
          <w:sz w:val="24"/>
          <w:szCs w:val="24"/>
        </w:rPr>
        <w:t xml:space="preserve">, one </w:t>
      </w:r>
      <w:r w:rsidR="00DD12A2" w:rsidRPr="006C6879">
        <w:rPr>
          <w:rFonts w:ascii="Century Schoolbook" w:hAnsi="Century Schoolbook" w:cs="Times New Roman"/>
          <w:sz w:val="24"/>
          <w:szCs w:val="24"/>
        </w:rPr>
        <w:t>for</w:t>
      </w:r>
      <w:r w:rsidR="0096454D" w:rsidRPr="006C6879">
        <w:rPr>
          <w:rFonts w:ascii="Century Schoolbook" w:hAnsi="Century Schoolbook" w:cs="Times New Roman"/>
          <w:sz w:val="24"/>
          <w:szCs w:val="24"/>
        </w:rPr>
        <w:t xml:space="preserve"> </w:t>
      </w:r>
      <w:r w:rsidR="00826DBA" w:rsidRPr="006C6879">
        <w:rPr>
          <w:rFonts w:ascii="Century Schoolbook" w:hAnsi="Century Schoolbook" w:cs="Times New Roman"/>
          <w:sz w:val="24"/>
          <w:szCs w:val="24"/>
        </w:rPr>
        <w:t xml:space="preserve">each of </w:t>
      </w:r>
      <w:r w:rsidR="0096454D" w:rsidRPr="006C6879">
        <w:rPr>
          <w:rFonts w:ascii="Century Schoolbook" w:hAnsi="Century Schoolbook" w:cs="Times New Roman"/>
          <w:sz w:val="24"/>
          <w:szCs w:val="24"/>
        </w:rPr>
        <w:t>the</w:t>
      </w:r>
      <w:r w:rsidR="00826DBA" w:rsidRPr="006C6879">
        <w:rPr>
          <w:rFonts w:ascii="Century Schoolbook" w:hAnsi="Century Schoolbook" w:cs="Times New Roman"/>
          <w:sz w:val="24"/>
          <w:szCs w:val="24"/>
        </w:rPr>
        <w:t xml:space="preserve"> </w:t>
      </w:r>
      <w:r w:rsidR="002772FD" w:rsidRPr="006C6879">
        <w:rPr>
          <w:rFonts w:ascii="Century Schoolbook" w:hAnsi="Century Schoolbook" w:cs="Times New Roman"/>
          <w:sz w:val="24"/>
          <w:szCs w:val="24"/>
        </w:rPr>
        <w:t xml:space="preserve">Pietermaritzburg and Durban </w:t>
      </w:r>
      <w:r w:rsidR="00826DBA" w:rsidRPr="006C6879">
        <w:rPr>
          <w:rFonts w:ascii="Century Schoolbook" w:hAnsi="Century Schoolbook" w:cs="Times New Roman"/>
          <w:sz w:val="24"/>
          <w:szCs w:val="24"/>
        </w:rPr>
        <w:t>posts</w:t>
      </w:r>
      <w:r w:rsidR="00695CCA" w:rsidRPr="006C6879">
        <w:rPr>
          <w:rStyle w:val="FootnoteReference"/>
          <w:rFonts w:ascii="Century Schoolbook" w:hAnsi="Century Schoolbook" w:cs="Times New Roman"/>
          <w:sz w:val="24"/>
          <w:szCs w:val="24"/>
        </w:rPr>
        <w:footnoteReference w:id="115"/>
      </w:r>
      <w:r w:rsidR="008E74D6">
        <w:rPr>
          <w:rFonts w:ascii="Century Schoolbook" w:hAnsi="Century Schoolbook" w:cs="Times New Roman"/>
          <w:sz w:val="24"/>
          <w:szCs w:val="24"/>
        </w:rPr>
        <w:t xml:space="preserve"> for which they’d respectively applied</w:t>
      </w:r>
      <w:r w:rsidR="00C421D3">
        <w:rPr>
          <w:rFonts w:ascii="Century Schoolbook" w:hAnsi="Century Schoolbook" w:cs="Times New Roman"/>
          <w:sz w:val="24"/>
          <w:szCs w:val="24"/>
        </w:rPr>
        <w:t>.</w:t>
      </w:r>
      <w:r w:rsidR="00C421D3">
        <w:rPr>
          <w:rStyle w:val="FootnoteReference"/>
          <w:rFonts w:ascii="Century Schoolbook" w:hAnsi="Century Schoolbook" w:cs="Times New Roman"/>
          <w:sz w:val="24"/>
          <w:szCs w:val="24"/>
        </w:rPr>
        <w:footnoteReference w:id="116"/>
      </w:r>
      <w:r w:rsidR="005345AC" w:rsidRPr="006C6879">
        <w:rPr>
          <w:rFonts w:ascii="Century Schoolbook" w:hAnsi="Century Schoolbook" w:cs="Times New Roman"/>
          <w:sz w:val="24"/>
          <w:szCs w:val="24"/>
        </w:rPr>
        <w:t xml:space="preserve"> </w:t>
      </w:r>
    </w:p>
    <w:p w:rsidR="00BE7686" w:rsidRPr="006C6879" w:rsidRDefault="005345AC" w:rsidP="00AA325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In sum, the selection </w:t>
      </w:r>
      <w:r w:rsidR="00964280">
        <w:rPr>
          <w:rFonts w:ascii="Century Schoolbook" w:hAnsi="Century Schoolbook" w:cs="Times New Roman"/>
          <w:sz w:val="24"/>
          <w:szCs w:val="24"/>
        </w:rPr>
        <w:t xml:space="preserve">and recommendation </w:t>
      </w:r>
      <w:r w:rsidRPr="006C6879">
        <w:rPr>
          <w:rFonts w:ascii="Century Schoolbook" w:hAnsi="Century Schoolbook" w:cs="Times New Roman"/>
          <w:sz w:val="24"/>
          <w:szCs w:val="24"/>
        </w:rPr>
        <w:t>process was conducted impeccably properly</w:t>
      </w:r>
      <w:r w:rsidR="00964280">
        <w:rPr>
          <w:rFonts w:ascii="Century Schoolbook" w:hAnsi="Century Schoolbook" w:cs="Times New Roman"/>
          <w:sz w:val="24"/>
          <w:szCs w:val="24"/>
        </w:rPr>
        <w:t xml:space="preserve"> in compliance with </w:t>
      </w:r>
      <w:r w:rsidR="001C5E64">
        <w:rPr>
          <w:rFonts w:ascii="Century Schoolbook" w:hAnsi="Century Schoolbook" w:cs="Times New Roman"/>
          <w:sz w:val="24"/>
          <w:szCs w:val="24"/>
        </w:rPr>
        <w:t>LASA’s</w:t>
      </w:r>
      <w:r w:rsidR="00964280">
        <w:rPr>
          <w:rFonts w:ascii="Century Schoolbook" w:hAnsi="Century Schoolbook" w:cs="Times New Roman"/>
          <w:sz w:val="24"/>
          <w:szCs w:val="24"/>
        </w:rPr>
        <w:t xml:space="preserve"> Recruitment code and </w:t>
      </w:r>
      <w:r w:rsidR="00B34CDC">
        <w:rPr>
          <w:rFonts w:ascii="Century Schoolbook" w:hAnsi="Century Schoolbook" w:cs="Times New Roman"/>
          <w:sz w:val="24"/>
          <w:szCs w:val="24"/>
        </w:rPr>
        <w:t xml:space="preserve">with </w:t>
      </w:r>
      <w:r w:rsidR="00964280">
        <w:rPr>
          <w:rFonts w:ascii="Century Schoolbook" w:hAnsi="Century Schoolbook" w:cs="Times New Roman"/>
          <w:sz w:val="24"/>
          <w:szCs w:val="24"/>
        </w:rPr>
        <w:t xml:space="preserve">similar </w:t>
      </w:r>
      <w:r w:rsidR="00CD154F">
        <w:rPr>
          <w:rFonts w:ascii="Century Schoolbook" w:hAnsi="Century Schoolbook" w:cs="Times New Roman"/>
          <w:sz w:val="24"/>
          <w:szCs w:val="24"/>
        </w:rPr>
        <w:t xml:space="preserve">official </w:t>
      </w:r>
      <w:r w:rsidR="00964280">
        <w:rPr>
          <w:rFonts w:ascii="Century Schoolbook" w:hAnsi="Century Schoolbook" w:cs="Times New Roman"/>
          <w:sz w:val="24"/>
          <w:szCs w:val="24"/>
        </w:rPr>
        <w:t xml:space="preserve">codes of recruitment practice </w:t>
      </w:r>
      <w:r w:rsidR="00B34CDC">
        <w:rPr>
          <w:rFonts w:ascii="Century Schoolbook" w:hAnsi="Century Schoolbook" w:cs="Times New Roman"/>
          <w:sz w:val="24"/>
          <w:szCs w:val="24"/>
        </w:rPr>
        <w:t>in the public sector</w:t>
      </w:r>
      <w:r w:rsidR="00147BF4">
        <w:rPr>
          <w:rFonts w:ascii="Century Schoolbook" w:hAnsi="Century Schoolbook" w:cs="Times New Roman"/>
          <w:sz w:val="24"/>
          <w:szCs w:val="24"/>
        </w:rPr>
        <w:t xml:space="preserve"> </w:t>
      </w:r>
      <w:r w:rsidR="009D7FB1">
        <w:rPr>
          <w:rFonts w:ascii="Century Schoolbook" w:hAnsi="Century Schoolbook" w:cs="Times New Roman"/>
          <w:sz w:val="24"/>
          <w:szCs w:val="24"/>
        </w:rPr>
        <w:t>observed by</w:t>
      </w:r>
      <w:r w:rsidR="003C636F">
        <w:rPr>
          <w:rFonts w:ascii="Century Schoolbook" w:hAnsi="Century Schoolbook" w:cs="Times New Roman"/>
          <w:sz w:val="24"/>
          <w:szCs w:val="24"/>
        </w:rPr>
        <w:t xml:space="preserve"> LASA</w:t>
      </w:r>
      <w:r w:rsidRPr="006C6879">
        <w:rPr>
          <w:rFonts w:ascii="Century Schoolbook" w:hAnsi="Century Schoolbook" w:cs="Times New Roman"/>
          <w:sz w:val="24"/>
          <w:szCs w:val="24"/>
        </w:rPr>
        <w:t>.</w:t>
      </w:r>
      <w:r w:rsidRPr="006C6879">
        <w:rPr>
          <w:rStyle w:val="FootnoteReference"/>
          <w:rFonts w:ascii="Century Schoolbook" w:hAnsi="Century Schoolbook" w:cs="Times New Roman"/>
          <w:sz w:val="24"/>
          <w:szCs w:val="24"/>
        </w:rPr>
        <w:footnoteReference w:id="117"/>
      </w:r>
    </w:p>
    <w:p w:rsidR="009200BB" w:rsidRPr="00D12D02" w:rsidRDefault="005345AC" w:rsidP="00AA325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w:t>
      </w:r>
      <w:r w:rsidR="000D0EA0">
        <w:rPr>
          <w:rFonts w:ascii="Century Schoolbook" w:hAnsi="Century Schoolbook" w:cs="Times New Roman"/>
          <w:sz w:val="24"/>
          <w:szCs w:val="24"/>
        </w:rPr>
        <w:t xml:space="preserve">two </w:t>
      </w:r>
      <w:r w:rsidRPr="006C6879">
        <w:rPr>
          <w:rFonts w:ascii="Century Schoolbook" w:hAnsi="Century Schoolbook" w:cs="Times New Roman"/>
          <w:sz w:val="24"/>
          <w:szCs w:val="24"/>
        </w:rPr>
        <w:t xml:space="preserve">candidates </w:t>
      </w:r>
      <w:r w:rsidR="00C421D3">
        <w:rPr>
          <w:rFonts w:ascii="Century Schoolbook" w:hAnsi="Century Schoolbook" w:cs="Times New Roman"/>
          <w:sz w:val="24"/>
          <w:szCs w:val="24"/>
        </w:rPr>
        <w:t xml:space="preserve">duly </w:t>
      </w:r>
      <w:r w:rsidRPr="006C6879">
        <w:rPr>
          <w:rFonts w:ascii="Century Schoolbook" w:hAnsi="Century Schoolbook" w:cs="Times New Roman"/>
          <w:sz w:val="24"/>
          <w:szCs w:val="24"/>
        </w:rPr>
        <w:t>recommended for the Pietermaritzburg and Durban posts</w:t>
      </w:r>
      <w:r w:rsidR="00964280">
        <w:rPr>
          <w:rFonts w:ascii="Century Schoolbook" w:hAnsi="Century Schoolbook" w:cs="Times New Roman"/>
          <w:sz w:val="24"/>
          <w:szCs w:val="24"/>
        </w:rPr>
        <w:t xml:space="preserve"> </w:t>
      </w:r>
      <w:r w:rsidRPr="006C6879">
        <w:rPr>
          <w:rFonts w:ascii="Century Schoolbook" w:hAnsi="Century Schoolbook" w:cs="Times New Roman"/>
          <w:sz w:val="24"/>
          <w:szCs w:val="24"/>
        </w:rPr>
        <w:t>w</w:t>
      </w:r>
      <w:r w:rsidRPr="00D12D02">
        <w:rPr>
          <w:rFonts w:ascii="Century Schoolbook" w:hAnsi="Century Schoolbook" w:cs="Times New Roman"/>
          <w:sz w:val="24"/>
          <w:szCs w:val="24"/>
        </w:rPr>
        <w:t xml:space="preserve">ere not appointed, </w:t>
      </w:r>
      <w:r w:rsidR="00964280" w:rsidRPr="00D12D02">
        <w:rPr>
          <w:rFonts w:ascii="Century Schoolbook" w:hAnsi="Century Schoolbook" w:cs="Times New Roman"/>
          <w:sz w:val="24"/>
          <w:szCs w:val="24"/>
        </w:rPr>
        <w:t xml:space="preserve">however, </w:t>
      </w:r>
      <w:r w:rsidR="009B2A8E" w:rsidRPr="00D12D02">
        <w:rPr>
          <w:rFonts w:ascii="Century Schoolbook" w:hAnsi="Century Schoolbook" w:cs="Times New Roman"/>
          <w:sz w:val="24"/>
          <w:szCs w:val="24"/>
        </w:rPr>
        <w:t>and the</w:t>
      </w:r>
      <w:r w:rsidR="00147BF4" w:rsidRPr="00D12D02">
        <w:rPr>
          <w:rFonts w:ascii="Century Schoolbook" w:hAnsi="Century Schoolbook" w:cs="Times New Roman"/>
          <w:sz w:val="24"/>
          <w:szCs w:val="24"/>
        </w:rPr>
        <w:t xml:space="preserve"> app</w:t>
      </w:r>
      <w:r w:rsidR="00C421D3">
        <w:rPr>
          <w:rFonts w:ascii="Century Schoolbook" w:hAnsi="Century Schoolbook" w:cs="Times New Roman"/>
          <w:sz w:val="24"/>
          <w:szCs w:val="24"/>
        </w:rPr>
        <w:t>roval</w:t>
      </w:r>
      <w:r w:rsidR="00147BF4" w:rsidRPr="00D12D02">
        <w:rPr>
          <w:rFonts w:ascii="Century Schoolbook" w:hAnsi="Century Schoolbook" w:cs="Times New Roman"/>
          <w:sz w:val="24"/>
          <w:szCs w:val="24"/>
        </w:rPr>
        <w:t xml:space="preserve"> process </w:t>
      </w:r>
      <w:r w:rsidR="00C421D3">
        <w:rPr>
          <w:rFonts w:ascii="Century Schoolbook" w:hAnsi="Century Schoolbook" w:cs="Times New Roman"/>
          <w:sz w:val="24"/>
          <w:szCs w:val="24"/>
        </w:rPr>
        <w:t xml:space="preserve">to </w:t>
      </w:r>
      <w:r w:rsidR="00147BF4" w:rsidRPr="00D12D02">
        <w:rPr>
          <w:rFonts w:ascii="Century Schoolbook" w:hAnsi="Century Schoolbook" w:cs="Times New Roman"/>
          <w:sz w:val="24"/>
          <w:szCs w:val="24"/>
        </w:rPr>
        <w:t>finali</w:t>
      </w:r>
      <w:r w:rsidR="00EC5A62">
        <w:rPr>
          <w:rFonts w:ascii="Century Schoolbook" w:hAnsi="Century Schoolbook" w:cs="Times New Roman"/>
          <w:sz w:val="24"/>
          <w:szCs w:val="24"/>
        </w:rPr>
        <w:t>z</w:t>
      </w:r>
      <w:r w:rsidR="00C421D3">
        <w:rPr>
          <w:rFonts w:ascii="Century Schoolbook" w:hAnsi="Century Schoolbook" w:cs="Times New Roman"/>
          <w:sz w:val="24"/>
          <w:szCs w:val="24"/>
        </w:rPr>
        <w:t>e</w:t>
      </w:r>
      <w:r w:rsidR="00147BF4" w:rsidRPr="00D12D02">
        <w:rPr>
          <w:rFonts w:ascii="Century Schoolbook" w:hAnsi="Century Schoolbook" w:cs="Times New Roman"/>
          <w:sz w:val="24"/>
          <w:szCs w:val="24"/>
        </w:rPr>
        <w:t xml:space="preserve"> their</w:t>
      </w:r>
      <w:r w:rsidR="009B2A8E" w:rsidRPr="00D12D02">
        <w:rPr>
          <w:rFonts w:ascii="Century Schoolbook" w:hAnsi="Century Schoolbook" w:cs="Times New Roman"/>
          <w:sz w:val="24"/>
          <w:szCs w:val="24"/>
        </w:rPr>
        <w:t xml:space="preserve"> recruitments</w:t>
      </w:r>
      <w:r w:rsidR="00964280" w:rsidRPr="00D12D02">
        <w:rPr>
          <w:rFonts w:ascii="Century Schoolbook" w:hAnsi="Century Schoolbook" w:cs="Times New Roman"/>
          <w:sz w:val="24"/>
          <w:szCs w:val="24"/>
        </w:rPr>
        <w:t xml:space="preserve"> </w:t>
      </w:r>
      <w:r w:rsidR="00D93B72">
        <w:rPr>
          <w:rFonts w:ascii="Century Schoolbook" w:hAnsi="Century Schoolbook" w:cs="Times New Roman"/>
          <w:sz w:val="24"/>
          <w:szCs w:val="24"/>
        </w:rPr>
        <w:t>governed by the Approval Framework</w:t>
      </w:r>
      <w:r w:rsidR="00D93B72">
        <w:rPr>
          <w:rStyle w:val="FootnoteReference"/>
          <w:rFonts w:ascii="Century Schoolbook" w:hAnsi="Century Schoolbook" w:cs="Calibri"/>
          <w:color w:val="000000" w:themeColor="text1"/>
          <w:sz w:val="24"/>
          <w:szCs w:val="24"/>
        </w:rPr>
        <w:footnoteReference w:id="118"/>
      </w:r>
      <w:r w:rsidR="00D93B72">
        <w:rPr>
          <w:rFonts w:ascii="Century Schoolbook" w:hAnsi="Century Schoolbook" w:cs="Times New Roman"/>
          <w:sz w:val="24"/>
          <w:szCs w:val="24"/>
        </w:rPr>
        <w:t xml:space="preserve"> </w:t>
      </w:r>
      <w:r w:rsidR="00964280" w:rsidRPr="00D12D02">
        <w:rPr>
          <w:rFonts w:ascii="Century Schoolbook" w:hAnsi="Century Schoolbook" w:cs="Times New Roman"/>
          <w:sz w:val="24"/>
          <w:szCs w:val="24"/>
        </w:rPr>
        <w:t>w</w:t>
      </w:r>
      <w:r w:rsidR="00147BF4" w:rsidRPr="00D12D02">
        <w:rPr>
          <w:rFonts w:ascii="Century Schoolbook" w:hAnsi="Century Schoolbook" w:cs="Times New Roman"/>
          <w:sz w:val="24"/>
          <w:szCs w:val="24"/>
        </w:rPr>
        <w:t>as</w:t>
      </w:r>
      <w:r w:rsidR="009B2A8E" w:rsidRPr="00D12D02">
        <w:rPr>
          <w:rFonts w:ascii="Century Schoolbook" w:hAnsi="Century Schoolbook" w:cs="Times New Roman"/>
          <w:sz w:val="24"/>
          <w:szCs w:val="24"/>
        </w:rPr>
        <w:t xml:space="preserve"> silently aborted</w:t>
      </w:r>
      <w:r w:rsidR="001678BC" w:rsidRPr="00D12D02">
        <w:rPr>
          <w:rFonts w:ascii="Century Schoolbook" w:hAnsi="Century Schoolbook" w:cs="Times New Roman"/>
          <w:sz w:val="24"/>
          <w:szCs w:val="24"/>
        </w:rPr>
        <w:t xml:space="preserve"> </w:t>
      </w:r>
      <w:r w:rsidR="001C43EA">
        <w:rPr>
          <w:rFonts w:ascii="Century Schoolbook" w:hAnsi="Century Schoolbook" w:cs="Times New Roman"/>
          <w:sz w:val="24"/>
          <w:szCs w:val="24"/>
        </w:rPr>
        <w:t>by</w:t>
      </w:r>
      <w:r w:rsidR="001678BC" w:rsidRPr="00D12D02">
        <w:rPr>
          <w:rFonts w:ascii="Century Schoolbook" w:hAnsi="Century Schoolbook" w:cs="Times New Roman"/>
          <w:sz w:val="24"/>
          <w:szCs w:val="24"/>
        </w:rPr>
        <w:t xml:space="preserve"> national</w:t>
      </w:r>
      <w:r w:rsidR="00344014">
        <w:rPr>
          <w:rFonts w:ascii="Century Schoolbook" w:hAnsi="Century Schoolbook" w:cs="Times New Roman"/>
          <w:sz w:val="24"/>
          <w:szCs w:val="24"/>
        </w:rPr>
        <w:t>-level</w:t>
      </w:r>
      <w:r w:rsidR="00344014" w:rsidRPr="00344014">
        <w:rPr>
          <w:rFonts w:ascii="Century Schoolbook" w:hAnsi="Century Schoolbook" w:cs="Times New Roman"/>
          <w:sz w:val="24"/>
          <w:szCs w:val="24"/>
        </w:rPr>
        <w:t xml:space="preserve"> </w:t>
      </w:r>
      <w:r w:rsidR="00344014">
        <w:rPr>
          <w:rFonts w:ascii="Century Schoolbook" w:hAnsi="Century Schoolbook" w:cs="Times New Roman"/>
          <w:sz w:val="24"/>
          <w:szCs w:val="24"/>
        </w:rPr>
        <w:t>officers</w:t>
      </w:r>
      <w:r w:rsidR="00C421D3" w:rsidRPr="00C421D3">
        <w:rPr>
          <w:rFonts w:ascii="Century Schoolbook" w:hAnsi="Century Schoolbook" w:cs="Times New Roman"/>
          <w:sz w:val="24"/>
          <w:szCs w:val="24"/>
        </w:rPr>
        <w:t xml:space="preserve"> </w:t>
      </w:r>
      <w:r w:rsidR="000D0EA0">
        <w:rPr>
          <w:rFonts w:ascii="Century Schoolbook" w:hAnsi="Century Schoolbook" w:cs="Times New Roman"/>
          <w:sz w:val="24"/>
          <w:szCs w:val="24"/>
        </w:rPr>
        <w:t>of</w:t>
      </w:r>
      <w:r w:rsidR="00C421D3">
        <w:rPr>
          <w:rFonts w:ascii="Century Schoolbook" w:hAnsi="Century Schoolbook" w:cs="Times New Roman"/>
          <w:sz w:val="24"/>
          <w:szCs w:val="24"/>
        </w:rPr>
        <w:t xml:space="preserve"> </w:t>
      </w:r>
      <w:r w:rsidR="00C421D3" w:rsidRPr="00D12D02">
        <w:rPr>
          <w:rFonts w:ascii="Century Schoolbook" w:hAnsi="Century Schoolbook" w:cs="Times New Roman"/>
          <w:sz w:val="24"/>
          <w:szCs w:val="24"/>
        </w:rPr>
        <w:t>LASA</w:t>
      </w:r>
      <w:r w:rsidR="00344014">
        <w:rPr>
          <w:rFonts w:ascii="Century Schoolbook" w:hAnsi="Century Schoolbook" w:cs="Times New Roman"/>
          <w:sz w:val="24"/>
          <w:szCs w:val="24"/>
        </w:rPr>
        <w:t>,</w:t>
      </w:r>
      <w:r w:rsidR="00344014">
        <w:rPr>
          <w:rStyle w:val="FootnoteReference"/>
          <w:rFonts w:ascii="Century Schoolbook" w:hAnsi="Century Schoolbook" w:cs="Times New Roman"/>
          <w:sz w:val="24"/>
          <w:szCs w:val="24"/>
        </w:rPr>
        <w:footnoteReference w:id="119"/>
      </w:r>
      <w:r w:rsidR="00344014">
        <w:rPr>
          <w:rFonts w:ascii="Century Schoolbook" w:hAnsi="Century Schoolbook" w:cs="Times New Roman"/>
          <w:sz w:val="24"/>
          <w:szCs w:val="24"/>
        </w:rPr>
        <w:t xml:space="preserve"> </w:t>
      </w:r>
      <w:r w:rsidRPr="00D12D02">
        <w:rPr>
          <w:rFonts w:ascii="Century Schoolbook" w:hAnsi="Century Schoolbook" w:cs="Times New Roman"/>
          <w:sz w:val="24"/>
          <w:szCs w:val="24"/>
        </w:rPr>
        <w:t>no reason initially given.</w:t>
      </w:r>
      <w:r w:rsidR="00C421D3">
        <w:rPr>
          <w:rStyle w:val="FootnoteReference"/>
          <w:rFonts w:ascii="Century Schoolbook" w:hAnsi="Century Schoolbook" w:cs="Times New Roman"/>
          <w:sz w:val="24"/>
          <w:szCs w:val="24"/>
        </w:rPr>
        <w:footnoteReference w:id="120"/>
      </w:r>
      <w:r w:rsidRPr="00D12D02">
        <w:rPr>
          <w:rFonts w:ascii="Century Schoolbook" w:hAnsi="Century Schoolbook" w:cs="Times New Roman"/>
          <w:sz w:val="24"/>
          <w:szCs w:val="24"/>
        </w:rPr>
        <w:t xml:space="preserve"> </w:t>
      </w:r>
    </w:p>
    <w:p w:rsidR="00E2447E" w:rsidRPr="00D12D02" w:rsidRDefault="00E2447E" w:rsidP="00D12D02">
      <w:pPr>
        <w:pStyle w:val="ListParagraph"/>
        <w:numPr>
          <w:ilvl w:val="0"/>
          <w:numId w:val="1"/>
        </w:numPr>
        <w:tabs>
          <w:tab w:val="left" w:pos="284"/>
          <w:tab w:val="left" w:pos="426"/>
        </w:tabs>
        <w:spacing w:line="360" w:lineRule="auto"/>
        <w:ind w:left="0" w:firstLine="0"/>
        <w:contextualSpacing w:val="0"/>
        <w:rPr>
          <w:rFonts w:ascii="Century Schoolbook" w:hAnsi="Century Schoolbook"/>
          <w:sz w:val="24"/>
          <w:szCs w:val="24"/>
        </w:rPr>
      </w:pPr>
      <w:r w:rsidRPr="00D12D02">
        <w:rPr>
          <w:rFonts w:ascii="Century Schoolbook" w:hAnsi="Century Schoolbook"/>
          <w:sz w:val="24"/>
          <w:szCs w:val="24"/>
        </w:rPr>
        <w:t>In a confirmatory affidavit</w:t>
      </w:r>
      <w:r w:rsidR="000D0EA0">
        <w:rPr>
          <w:rFonts w:ascii="Century Schoolbook" w:hAnsi="Century Schoolbook"/>
          <w:sz w:val="24"/>
          <w:szCs w:val="24"/>
        </w:rPr>
        <w:t xml:space="preserve"> put up in legal proceedings for the true information of the </w:t>
      </w:r>
      <w:r w:rsidR="00F76E43">
        <w:rPr>
          <w:rFonts w:ascii="Century Schoolbook" w:hAnsi="Century Schoolbook"/>
          <w:sz w:val="24"/>
          <w:szCs w:val="24"/>
        </w:rPr>
        <w:t xml:space="preserve">trial </w:t>
      </w:r>
      <w:r w:rsidR="000D0EA0">
        <w:rPr>
          <w:rFonts w:ascii="Century Schoolbook" w:hAnsi="Century Schoolbook"/>
          <w:sz w:val="24"/>
          <w:szCs w:val="24"/>
        </w:rPr>
        <w:t>judge</w:t>
      </w:r>
      <w:r w:rsidR="00D93B72">
        <w:rPr>
          <w:rFonts w:ascii="Century Schoolbook" w:hAnsi="Century Schoolbook"/>
          <w:sz w:val="24"/>
          <w:szCs w:val="24"/>
        </w:rPr>
        <w:t>,</w:t>
      </w:r>
      <w:r w:rsidRPr="00D12D02">
        <w:rPr>
          <w:rFonts w:ascii="Century Schoolbook" w:hAnsi="Century Schoolbook"/>
          <w:sz w:val="24"/>
          <w:szCs w:val="24"/>
        </w:rPr>
        <w:t xml:space="preserve"> </w:t>
      </w:r>
      <w:r w:rsidR="00D12D02" w:rsidRPr="00D12D02">
        <w:rPr>
          <w:rFonts w:ascii="Century Schoolbook" w:hAnsi="Century Schoolbook"/>
          <w:sz w:val="24"/>
          <w:szCs w:val="24"/>
        </w:rPr>
        <w:t xml:space="preserve">NOE </w:t>
      </w:r>
      <w:r w:rsidRPr="00D12D02">
        <w:rPr>
          <w:rFonts w:ascii="Century Schoolbook" w:hAnsi="Century Schoolbook"/>
          <w:sz w:val="24"/>
          <w:szCs w:val="24"/>
        </w:rPr>
        <w:t>Nair corroborated</w:t>
      </w:r>
      <w:r w:rsidR="00090CF2" w:rsidRPr="00D12D02">
        <w:rPr>
          <w:rStyle w:val="FootnoteReference"/>
          <w:rFonts w:ascii="Century Schoolbook" w:hAnsi="Century Schoolbook"/>
          <w:sz w:val="24"/>
          <w:szCs w:val="24"/>
        </w:rPr>
        <w:footnoteReference w:id="121"/>
      </w:r>
      <w:r w:rsidRPr="00D12D02">
        <w:rPr>
          <w:rFonts w:ascii="Century Schoolbook" w:hAnsi="Century Schoolbook"/>
          <w:sz w:val="24"/>
          <w:szCs w:val="24"/>
        </w:rPr>
        <w:t xml:space="preserve"> </w:t>
      </w:r>
      <w:r w:rsidR="00D12D02" w:rsidRPr="00D12D02">
        <w:rPr>
          <w:rFonts w:ascii="Century Schoolbook" w:hAnsi="Century Schoolbook"/>
          <w:sz w:val="24"/>
          <w:szCs w:val="24"/>
        </w:rPr>
        <w:t xml:space="preserve">then Corporate Services </w:t>
      </w:r>
      <w:r w:rsidR="00D12D02" w:rsidRPr="00D12D02">
        <w:rPr>
          <w:rFonts w:ascii="Century Schoolbook" w:hAnsi="Century Schoolbook"/>
          <w:sz w:val="24"/>
          <w:szCs w:val="24"/>
        </w:rPr>
        <w:lastRenderedPageBreak/>
        <w:t xml:space="preserve">Executive </w:t>
      </w:r>
      <w:r w:rsidR="001671BE">
        <w:rPr>
          <w:rFonts w:ascii="Century Schoolbook" w:hAnsi="Century Schoolbook"/>
          <w:sz w:val="24"/>
          <w:szCs w:val="24"/>
        </w:rPr>
        <w:t xml:space="preserve">Thembile </w:t>
      </w:r>
      <w:r w:rsidRPr="00D12D02">
        <w:rPr>
          <w:rFonts w:ascii="Century Schoolbook" w:hAnsi="Century Schoolbook"/>
          <w:sz w:val="24"/>
          <w:szCs w:val="24"/>
        </w:rPr>
        <w:t xml:space="preserve">Mtati’s </w:t>
      </w:r>
      <w:r w:rsidR="000D0EA0">
        <w:rPr>
          <w:rFonts w:ascii="Century Schoolbook" w:hAnsi="Century Schoolbook"/>
          <w:sz w:val="24"/>
          <w:szCs w:val="24"/>
        </w:rPr>
        <w:t xml:space="preserve">truthful </w:t>
      </w:r>
      <w:r w:rsidRPr="00D12D02">
        <w:rPr>
          <w:rFonts w:ascii="Century Schoolbook" w:hAnsi="Century Schoolbook"/>
          <w:sz w:val="24"/>
          <w:szCs w:val="24"/>
        </w:rPr>
        <w:t xml:space="preserve">evidence </w:t>
      </w:r>
      <w:r w:rsidR="00344014">
        <w:rPr>
          <w:rFonts w:ascii="Century Schoolbook" w:hAnsi="Century Schoolbook"/>
          <w:sz w:val="24"/>
          <w:szCs w:val="24"/>
        </w:rPr>
        <w:t>on</w:t>
      </w:r>
      <w:r w:rsidR="00D12D02">
        <w:rPr>
          <w:rFonts w:ascii="Century Schoolbook" w:hAnsi="Century Schoolbook"/>
          <w:sz w:val="24"/>
          <w:szCs w:val="24"/>
        </w:rPr>
        <w:t xml:space="preserve"> </w:t>
      </w:r>
      <w:r w:rsidRPr="00D12D02">
        <w:rPr>
          <w:rFonts w:ascii="Century Schoolbook" w:hAnsi="Century Schoolbook"/>
          <w:sz w:val="24"/>
          <w:szCs w:val="24"/>
        </w:rPr>
        <w:t>affidavit</w:t>
      </w:r>
      <w:r w:rsidR="00F76E43">
        <w:rPr>
          <w:rFonts w:ascii="Century Schoolbook" w:hAnsi="Century Schoolbook"/>
          <w:sz w:val="24"/>
          <w:szCs w:val="24"/>
        </w:rPr>
        <w:t xml:space="preserve">, given </w:t>
      </w:r>
      <w:r w:rsidR="00F76E43" w:rsidRPr="003000D4">
        <w:rPr>
          <w:rFonts w:ascii="Century Schoolbook" w:hAnsi="Century Schoolbook"/>
          <w:i/>
          <w:sz w:val="24"/>
          <w:szCs w:val="24"/>
        </w:rPr>
        <w:t>qua</w:t>
      </w:r>
      <w:r w:rsidR="00F76E43">
        <w:rPr>
          <w:rFonts w:ascii="Century Schoolbook" w:hAnsi="Century Schoolbook"/>
          <w:sz w:val="24"/>
          <w:szCs w:val="24"/>
        </w:rPr>
        <w:t xml:space="preserve"> attorney on Mlambo JP’s </w:t>
      </w:r>
      <w:r w:rsidR="003000D4">
        <w:rPr>
          <w:rFonts w:ascii="Century Schoolbook" w:hAnsi="Century Schoolbook"/>
          <w:sz w:val="24"/>
          <w:szCs w:val="24"/>
        </w:rPr>
        <w:t>instructions</w:t>
      </w:r>
      <w:r w:rsidR="00F76E43">
        <w:rPr>
          <w:rFonts w:ascii="Century Schoolbook" w:hAnsi="Century Schoolbook"/>
          <w:sz w:val="24"/>
          <w:szCs w:val="24"/>
        </w:rPr>
        <w:t>,</w:t>
      </w:r>
      <w:r w:rsidRPr="00D12D02">
        <w:rPr>
          <w:rFonts w:ascii="Century Schoolbook" w:hAnsi="Century Schoolbook"/>
          <w:sz w:val="24"/>
          <w:szCs w:val="24"/>
        </w:rPr>
        <w:t xml:space="preserve"> </w:t>
      </w:r>
      <w:r w:rsidR="00D12D02" w:rsidRPr="00D12D02">
        <w:rPr>
          <w:rFonts w:ascii="Century Schoolbook" w:hAnsi="Century Schoolbook"/>
          <w:sz w:val="24"/>
          <w:szCs w:val="24"/>
        </w:rPr>
        <w:t>that the Pietermaritzburg and Durban ‘</w:t>
      </w:r>
      <w:r w:rsidRPr="00D12D02">
        <w:rPr>
          <w:rFonts w:ascii="Century Schoolbook" w:hAnsi="Century Schoolbook"/>
          <w:sz w:val="24"/>
          <w:szCs w:val="24"/>
        </w:rPr>
        <w:t>recruitmen</w:t>
      </w:r>
      <w:r w:rsidR="00D12D02" w:rsidRPr="00D12D02">
        <w:rPr>
          <w:rFonts w:ascii="Century Schoolbook" w:hAnsi="Century Schoolbook"/>
          <w:sz w:val="24"/>
          <w:szCs w:val="24"/>
        </w:rPr>
        <w:t xml:space="preserve">t ... </w:t>
      </w:r>
      <w:r w:rsidRPr="00D12D02">
        <w:rPr>
          <w:rFonts w:ascii="Century Schoolbook" w:hAnsi="Century Schoolbook"/>
          <w:sz w:val="24"/>
          <w:szCs w:val="24"/>
        </w:rPr>
        <w:t xml:space="preserve">was </w:t>
      </w:r>
      <w:r w:rsidRPr="00D12D02">
        <w:rPr>
          <w:rFonts w:ascii="Century Schoolbook" w:hAnsi="Century Schoolbook"/>
          <w:sz w:val="24"/>
          <w:szCs w:val="24"/>
          <w:lang w:val="en-US"/>
        </w:rPr>
        <w:t>aborted immediately after the first round of interviews</w:t>
      </w:r>
      <w:r w:rsidRPr="00D12D02">
        <w:rPr>
          <w:rFonts w:ascii="Century Schoolbook" w:hAnsi="Century Schoolbook"/>
          <w:sz w:val="24"/>
          <w:szCs w:val="24"/>
        </w:rPr>
        <w:t>.</w:t>
      </w:r>
      <w:r w:rsidR="00090CF2">
        <w:rPr>
          <w:rFonts w:ascii="Century Schoolbook" w:hAnsi="Century Schoolbook"/>
          <w:sz w:val="24"/>
          <w:szCs w:val="24"/>
        </w:rPr>
        <w:t>’</w:t>
      </w:r>
      <w:r w:rsidRPr="00D12D02">
        <w:rPr>
          <w:rStyle w:val="FootnoteReference"/>
          <w:rFonts w:ascii="Century Schoolbook" w:hAnsi="Century Schoolbook"/>
          <w:sz w:val="24"/>
          <w:szCs w:val="24"/>
        </w:rPr>
        <w:footnoteReference w:id="122"/>
      </w:r>
      <w:r w:rsidRPr="00D12D02">
        <w:rPr>
          <w:rFonts w:ascii="Century Schoolbook" w:hAnsi="Century Schoolbook"/>
          <w:sz w:val="24"/>
          <w:szCs w:val="24"/>
        </w:rPr>
        <w:t xml:space="preserve"> In other words </w:t>
      </w:r>
      <w:r w:rsidR="001671BE">
        <w:rPr>
          <w:rFonts w:ascii="Century Schoolbook" w:hAnsi="Century Schoolbook"/>
          <w:sz w:val="24"/>
          <w:szCs w:val="24"/>
        </w:rPr>
        <w:t xml:space="preserve">(LASA’s </w:t>
      </w:r>
      <w:r w:rsidRPr="00D12D02">
        <w:rPr>
          <w:rFonts w:ascii="Century Schoolbook" w:hAnsi="Century Schoolbook"/>
          <w:sz w:val="24"/>
          <w:szCs w:val="24"/>
        </w:rPr>
        <w:t>words), it was ‘</w:t>
      </w:r>
      <w:r w:rsidRPr="00D12D02">
        <w:rPr>
          <w:rFonts w:ascii="Century Schoolbook" w:hAnsi="Century Schoolbook"/>
          <w:sz w:val="24"/>
          <w:szCs w:val="24"/>
          <w:lang w:val="en-US"/>
        </w:rPr>
        <w:t>immediately after the first round of interviews</w:t>
      </w:r>
      <w:r w:rsidRPr="00D12D02">
        <w:rPr>
          <w:rFonts w:ascii="Century Schoolbook" w:hAnsi="Century Schoolbook"/>
          <w:sz w:val="24"/>
          <w:szCs w:val="24"/>
        </w:rPr>
        <w:t>’</w:t>
      </w:r>
      <w:r w:rsidR="001671BE">
        <w:rPr>
          <w:rFonts w:ascii="Century Schoolbook" w:hAnsi="Century Schoolbook"/>
          <w:sz w:val="24"/>
          <w:szCs w:val="24"/>
        </w:rPr>
        <w:t xml:space="preserve"> </w:t>
      </w:r>
      <w:r w:rsidRPr="00D12D02">
        <w:rPr>
          <w:rFonts w:ascii="Century Schoolbook" w:hAnsi="Century Schoolbook"/>
          <w:sz w:val="24"/>
          <w:szCs w:val="24"/>
          <w:lang w:val="en-US"/>
        </w:rPr>
        <w:t xml:space="preserve">that </w:t>
      </w:r>
      <w:r w:rsidRPr="00D12D02">
        <w:rPr>
          <w:rFonts w:ascii="Century Schoolbook" w:hAnsi="Century Schoolbook"/>
          <w:sz w:val="24"/>
          <w:szCs w:val="24"/>
        </w:rPr>
        <w:t>‘the decision to abort the recruitment of the Senior Litigator,</w:t>
      </w:r>
      <w:r w:rsidR="00D12D02">
        <w:rPr>
          <w:rFonts w:ascii="Century Schoolbook" w:hAnsi="Century Schoolbook"/>
          <w:sz w:val="24"/>
          <w:szCs w:val="24"/>
        </w:rPr>
        <w:t xml:space="preserve"> </w:t>
      </w:r>
      <w:r w:rsidRPr="00D12D02">
        <w:rPr>
          <w:rFonts w:ascii="Century Schoolbook" w:hAnsi="Century Schoolbook"/>
          <w:sz w:val="24"/>
          <w:szCs w:val="24"/>
        </w:rPr>
        <w:t>Pietermaritzburg’</w:t>
      </w:r>
      <w:r w:rsidRPr="00D12D02">
        <w:rPr>
          <w:rStyle w:val="FootnoteReference"/>
          <w:rFonts w:ascii="Century Schoolbook" w:hAnsi="Century Schoolbook"/>
          <w:sz w:val="24"/>
          <w:szCs w:val="24"/>
        </w:rPr>
        <w:footnoteReference w:id="123"/>
      </w:r>
      <w:r w:rsidR="00D12D02" w:rsidRPr="00D12D02">
        <w:rPr>
          <w:rFonts w:ascii="Century Schoolbook" w:hAnsi="Century Schoolbook"/>
          <w:sz w:val="24"/>
          <w:szCs w:val="24"/>
        </w:rPr>
        <w:t xml:space="preserve"> </w:t>
      </w:r>
      <w:r w:rsidR="00D93B72" w:rsidRPr="00D12D02">
        <w:rPr>
          <w:rFonts w:ascii="Century Schoolbook" w:hAnsi="Century Schoolbook"/>
          <w:sz w:val="24"/>
          <w:szCs w:val="24"/>
        </w:rPr>
        <w:t xml:space="preserve">was </w:t>
      </w:r>
      <w:r w:rsidR="00D93B72">
        <w:rPr>
          <w:rFonts w:ascii="Century Schoolbook" w:hAnsi="Century Schoolbook"/>
          <w:sz w:val="24"/>
          <w:szCs w:val="24"/>
        </w:rPr>
        <w:t>taken</w:t>
      </w:r>
      <w:r w:rsidR="00457FB1">
        <w:rPr>
          <w:rFonts w:ascii="Century Schoolbook" w:hAnsi="Century Schoolbook"/>
          <w:sz w:val="24"/>
          <w:szCs w:val="24"/>
        </w:rPr>
        <w:t>,</w:t>
      </w:r>
      <w:r w:rsidR="00D93B72" w:rsidRPr="00D12D02">
        <w:rPr>
          <w:rFonts w:ascii="Century Schoolbook" w:hAnsi="Century Schoolbook"/>
          <w:sz w:val="24"/>
          <w:szCs w:val="24"/>
        </w:rPr>
        <w:t xml:space="preserve"> </w:t>
      </w:r>
      <w:r w:rsidR="00D12D02" w:rsidRPr="00D12D02">
        <w:rPr>
          <w:rFonts w:ascii="Century Schoolbook" w:hAnsi="Century Schoolbook"/>
          <w:sz w:val="24"/>
          <w:szCs w:val="24"/>
        </w:rPr>
        <w:t xml:space="preserve">and </w:t>
      </w:r>
      <w:r w:rsidR="001671BE">
        <w:rPr>
          <w:rFonts w:ascii="Century Schoolbook" w:hAnsi="Century Schoolbook"/>
          <w:sz w:val="24"/>
          <w:szCs w:val="24"/>
        </w:rPr>
        <w:t xml:space="preserve">with it </w:t>
      </w:r>
      <w:r w:rsidR="00DA2D56">
        <w:rPr>
          <w:rFonts w:ascii="Century Schoolbook" w:hAnsi="Century Schoolbook"/>
          <w:sz w:val="24"/>
          <w:szCs w:val="24"/>
        </w:rPr>
        <w:t>the</w:t>
      </w:r>
      <w:r w:rsidR="00457FB1">
        <w:rPr>
          <w:rFonts w:ascii="Century Schoolbook" w:hAnsi="Century Schoolbook"/>
          <w:sz w:val="24"/>
          <w:szCs w:val="24"/>
        </w:rPr>
        <w:t xml:space="preserve"> </w:t>
      </w:r>
      <w:r w:rsidR="00D12D02" w:rsidRPr="00D12D02">
        <w:rPr>
          <w:rFonts w:ascii="Century Schoolbook" w:hAnsi="Century Schoolbook"/>
          <w:sz w:val="24"/>
          <w:szCs w:val="24"/>
        </w:rPr>
        <w:t xml:space="preserve">recruitment </w:t>
      </w:r>
      <w:r w:rsidR="005B1548">
        <w:rPr>
          <w:rFonts w:ascii="Century Schoolbook" w:hAnsi="Century Schoolbook"/>
          <w:sz w:val="24"/>
          <w:szCs w:val="24"/>
        </w:rPr>
        <w:t xml:space="preserve">process for </w:t>
      </w:r>
      <w:r w:rsidR="00D12D02" w:rsidRPr="00D12D02">
        <w:rPr>
          <w:rFonts w:ascii="Century Schoolbook" w:hAnsi="Century Schoolbook"/>
          <w:sz w:val="24"/>
          <w:szCs w:val="24"/>
        </w:rPr>
        <w:t xml:space="preserve">the </w:t>
      </w:r>
      <w:r w:rsidR="00457FB1" w:rsidRPr="00D12D02">
        <w:rPr>
          <w:rFonts w:ascii="Century Schoolbook" w:hAnsi="Century Schoolbook"/>
          <w:sz w:val="24"/>
          <w:szCs w:val="24"/>
        </w:rPr>
        <w:t xml:space="preserve">Durban </w:t>
      </w:r>
      <w:r w:rsidR="00D12D02" w:rsidRPr="00D12D02">
        <w:rPr>
          <w:rFonts w:ascii="Century Schoolbook" w:hAnsi="Century Schoolbook"/>
          <w:sz w:val="24"/>
          <w:szCs w:val="24"/>
        </w:rPr>
        <w:t>Senior Litigator</w:t>
      </w:r>
      <w:r w:rsidR="00457FB1">
        <w:rPr>
          <w:rFonts w:ascii="Century Schoolbook" w:hAnsi="Century Schoolbook"/>
          <w:sz w:val="24"/>
          <w:szCs w:val="24"/>
        </w:rPr>
        <w:t xml:space="preserve"> post</w:t>
      </w:r>
      <w:r w:rsidR="00D12D02">
        <w:rPr>
          <w:rFonts w:ascii="Century Schoolbook" w:hAnsi="Century Schoolbook"/>
          <w:sz w:val="24"/>
          <w:szCs w:val="24"/>
        </w:rPr>
        <w:t xml:space="preserve"> </w:t>
      </w:r>
      <w:r w:rsidR="001671BE">
        <w:rPr>
          <w:rFonts w:ascii="Century Schoolbook" w:hAnsi="Century Schoolbook"/>
          <w:sz w:val="24"/>
          <w:szCs w:val="24"/>
        </w:rPr>
        <w:t>– off the record, without authority, and therefore unlawfully, as discussed below</w:t>
      </w:r>
      <w:r w:rsidR="00D12D02" w:rsidRPr="00D12D02">
        <w:rPr>
          <w:rFonts w:ascii="Century Schoolbook" w:hAnsi="Century Schoolbook"/>
          <w:sz w:val="24"/>
          <w:szCs w:val="24"/>
        </w:rPr>
        <w:t>.</w:t>
      </w:r>
    </w:p>
    <w:p w:rsidR="00A42AF2" w:rsidRPr="00460A95" w:rsidRDefault="00A42AF2" w:rsidP="00460A95">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Many months later, u</w:t>
      </w:r>
      <w:r w:rsidR="005345AC" w:rsidRPr="006C6879">
        <w:rPr>
          <w:rFonts w:ascii="Century Schoolbook" w:hAnsi="Century Schoolbook" w:cs="Times New Roman"/>
          <w:sz w:val="24"/>
          <w:szCs w:val="24"/>
        </w:rPr>
        <w:t xml:space="preserve">nder </w:t>
      </w:r>
      <w:r w:rsidR="005B1548">
        <w:rPr>
          <w:rFonts w:ascii="Century Schoolbook" w:hAnsi="Century Schoolbook" w:cs="Times New Roman"/>
          <w:sz w:val="24"/>
          <w:szCs w:val="24"/>
        </w:rPr>
        <w:t>persistent</w:t>
      </w:r>
      <w:r w:rsidR="00E70182">
        <w:rPr>
          <w:rFonts w:ascii="Century Schoolbook" w:hAnsi="Century Schoolbook" w:cs="Times New Roman"/>
          <w:sz w:val="24"/>
          <w:szCs w:val="24"/>
        </w:rPr>
        <w:t>,</w:t>
      </w:r>
      <w:r w:rsidR="005B1548">
        <w:rPr>
          <w:rFonts w:ascii="Century Schoolbook" w:hAnsi="Century Schoolbook" w:cs="Times New Roman"/>
          <w:sz w:val="24"/>
          <w:szCs w:val="24"/>
        </w:rPr>
        <w:t xml:space="preserve"> </w:t>
      </w:r>
      <w:r w:rsidR="00D12D02">
        <w:rPr>
          <w:rFonts w:ascii="Century Schoolbook" w:hAnsi="Century Schoolbook" w:cs="Times New Roman"/>
          <w:sz w:val="24"/>
          <w:szCs w:val="24"/>
        </w:rPr>
        <w:t xml:space="preserve">rising </w:t>
      </w:r>
      <w:r w:rsidR="005345AC" w:rsidRPr="006C6879">
        <w:rPr>
          <w:rFonts w:ascii="Century Schoolbook" w:hAnsi="Century Schoolbook" w:cs="Times New Roman"/>
          <w:sz w:val="24"/>
          <w:szCs w:val="24"/>
        </w:rPr>
        <w:t>pressure to account</w:t>
      </w:r>
      <w:r w:rsidR="00413970">
        <w:rPr>
          <w:rFonts w:ascii="Century Schoolbook" w:hAnsi="Century Schoolbook" w:cs="Times New Roman"/>
          <w:sz w:val="24"/>
          <w:szCs w:val="24"/>
        </w:rPr>
        <w:t xml:space="preserve"> – </w:t>
      </w:r>
      <w:r w:rsidR="00E70182">
        <w:rPr>
          <w:rFonts w:ascii="Century Schoolbook" w:hAnsi="Century Schoolbook" w:cs="Times New Roman"/>
          <w:sz w:val="24"/>
          <w:szCs w:val="24"/>
        </w:rPr>
        <w:t>ultimately</w:t>
      </w:r>
      <w:r w:rsidR="005345AC" w:rsidRPr="006C6879">
        <w:rPr>
          <w:rFonts w:ascii="Century Schoolbook" w:hAnsi="Century Schoolbook" w:cs="Times New Roman"/>
          <w:sz w:val="24"/>
          <w:szCs w:val="24"/>
        </w:rPr>
        <w:t xml:space="preserve"> to the Minister</w:t>
      </w:r>
      <w:r w:rsidR="001624DB" w:rsidRPr="006C6879">
        <w:rPr>
          <w:rFonts w:ascii="Century Schoolbook" w:hAnsi="Century Schoolbook" w:cs="Times New Roman"/>
          <w:sz w:val="24"/>
          <w:szCs w:val="24"/>
        </w:rPr>
        <w:t xml:space="preserve"> and</w:t>
      </w:r>
      <w:r w:rsidR="005345AC" w:rsidRPr="006C6879">
        <w:rPr>
          <w:rFonts w:ascii="Century Schoolbook" w:hAnsi="Century Schoolbook" w:cs="Times New Roman"/>
          <w:sz w:val="24"/>
          <w:szCs w:val="24"/>
        </w:rPr>
        <w:t xml:space="preserve"> to the </w:t>
      </w:r>
      <w:r w:rsidR="00AC5AD4">
        <w:rPr>
          <w:rFonts w:ascii="Century Schoolbook" w:hAnsi="Century Schoolbook" w:cs="Times New Roman"/>
          <w:sz w:val="24"/>
          <w:szCs w:val="24"/>
        </w:rPr>
        <w:t xml:space="preserve">chairperson of the </w:t>
      </w:r>
      <w:r w:rsidR="005345AC" w:rsidRPr="006C6879">
        <w:rPr>
          <w:rFonts w:ascii="Century Schoolbook" w:hAnsi="Century Schoolbook" w:cs="Times New Roman"/>
          <w:sz w:val="24"/>
          <w:szCs w:val="24"/>
        </w:rPr>
        <w:t>Portfolio Committee</w:t>
      </w:r>
      <w:r w:rsidR="00B34CDC">
        <w:rPr>
          <w:rFonts w:ascii="Century Schoolbook" w:hAnsi="Century Schoolbook" w:cs="Times New Roman"/>
          <w:sz w:val="24"/>
          <w:szCs w:val="24"/>
        </w:rPr>
        <w:t>, both of wh</w:t>
      </w:r>
      <w:r w:rsidR="00AC5AD4">
        <w:rPr>
          <w:rFonts w:ascii="Century Schoolbook" w:hAnsi="Century Schoolbook" w:cs="Times New Roman"/>
          <w:sz w:val="24"/>
          <w:szCs w:val="24"/>
        </w:rPr>
        <w:t xml:space="preserve">om </w:t>
      </w:r>
      <w:r w:rsidR="00AD6F13">
        <w:rPr>
          <w:rFonts w:ascii="Century Schoolbook" w:hAnsi="Century Schoolbook" w:cs="Times New Roman"/>
          <w:sz w:val="24"/>
          <w:szCs w:val="24"/>
        </w:rPr>
        <w:t xml:space="preserve">had </w:t>
      </w:r>
      <w:r w:rsidR="001624DB" w:rsidRPr="006C6879">
        <w:rPr>
          <w:rFonts w:ascii="Century Schoolbook" w:hAnsi="Century Schoolbook" w:cs="Times New Roman"/>
          <w:sz w:val="24"/>
          <w:szCs w:val="24"/>
        </w:rPr>
        <w:t>separately and independently instituted enquiries into</w:t>
      </w:r>
      <w:r w:rsidR="00C1094D" w:rsidRPr="006C6879">
        <w:rPr>
          <w:rFonts w:ascii="Century Schoolbook" w:hAnsi="Century Schoolbook" w:cs="Times New Roman"/>
          <w:sz w:val="24"/>
          <w:szCs w:val="24"/>
        </w:rPr>
        <w:t xml:space="preserve"> the matter</w:t>
      </w:r>
      <w:r w:rsidR="00AC5AD4">
        <w:rPr>
          <w:rFonts w:ascii="Century Schoolbook" w:hAnsi="Century Schoolbook" w:cs="Times New Roman"/>
          <w:sz w:val="24"/>
          <w:szCs w:val="24"/>
        </w:rPr>
        <w:t>,</w:t>
      </w:r>
      <w:r w:rsidR="00C1094D" w:rsidRPr="006C6879">
        <w:rPr>
          <w:rFonts w:ascii="Century Schoolbook" w:hAnsi="Century Schoolbook" w:cs="Times New Roman"/>
          <w:sz w:val="24"/>
          <w:szCs w:val="24"/>
        </w:rPr>
        <w:t xml:space="preserve"> a</w:t>
      </w:r>
      <w:r w:rsidR="005345AC" w:rsidRPr="006C6879">
        <w:rPr>
          <w:rFonts w:ascii="Century Schoolbook" w:hAnsi="Century Schoolbook" w:cs="Times New Roman"/>
          <w:sz w:val="24"/>
          <w:szCs w:val="24"/>
        </w:rPr>
        <w:t xml:space="preserve">nd </w:t>
      </w:r>
      <w:r w:rsidR="000359A9">
        <w:rPr>
          <w:rFonts w:ascii="Century Schoolbook" w:hAnsi="Century Schoolbook" w:cs="Times New Roman"/>
          <w:sz w:val="24"/>
          <w:szCs w:val="24"/>
        </w:rPr>
        <w:t>after that</w:t>
      </w:r>
      <w:r w:rsidR="00C1094D" w:rsidRPr="006C6879">
        <w:rPr>
          <w:rFonts w:ascii="Century Schoolbook" w:hAnsi="Century Schoolbook" w:cs="Times New Roman"/>
          <w:sz w:val="24"/>
          <w:szCs w:val="24"/>
        </w:rPr>
        <w:t xml:space="preserve"> </w:t>
      </w:r>
      <w:r w:rsidR="005345AC" w:rsidRPr="006C6879">
        <w:rPr>
          <w:rFonts w:ascii="Century Schoolbook" w:hAnsi="Century Schoolbook" w:cs="Times New Roman"/>
          <w:sz w:val="24"/>
          <w:szCs w:val="24"/>
        </w:rPr>
        <w:t xml:space="preserve">to </w:t>
      </w:r>
      <w:r w:rsidR="005A6AF9">
        <w:rPr>
          <w:rFonts w:ascii="Century Schoolbook" w:hAnsi="Century Schoolbook" w:cs="Times New Roman"/>
          <w:sz w:val="24"/>
          <w:szCs w:val="24"/>
        </w:rPr>
        <w:t xml:space="preserve">several </w:t>
      </w:r>
      <w:r w:rsidR="005345AC" w:rsidRPr="006C6879">
        <w:rPr>
          <w:rFonts w:ascii="Century Schoolbook" w:hAnsi="Century Schoolbook" w:cs="Times New Roman"/>
          <w:sz w:val="24"/>
          <w:szCs w:val="24"/>
        </w:rPr>
        <w:t>courts</w:t>
      </w:r>
      <w:r w:rsidR="00413970">
        <w:rPr>
          <w:rFonts w:ascii="Century Schoolbook" w:hAnsi="Century Schoolbook" w:cs="Times New Roman"/>
          <w:sz w:val="24"/>
          <w:szCs w:val="24"/>
        </w:rPr>
        <w:t xml:space="preserve"> – </w:t>
      </w:r>
      <w:r w:rsidR="005345AC" w:rsidRPr="006C6879">
        <w:rPr>
          <w:rFonts w:ascii="Century Schoolbook" w:hAnsi="Century Schoolbook" w:cs="Times New Roman"/>
          <w:sz w:val="24"/>
          <w:szCs w:val="24"/>
        </w:rPr>
        <w:t xml:space="preserve">LASA’s </w:t>
      </w:r>
      <w:r w:rsidR="001C43EA">
        <w:rPr>
          <w:rFonts w:ascii="Century Schoolbook" w:hAnsi="Century Schoolbook" w:cs="Times New Roman"/>
          <w:sz w:val="24"/>
          <w:szCs w:val="24"/>
        </w:rPr>
        <w:t xml:space="preserve">top </w:t>
      </w:r>
      <w:r w:rsidR="005345AC" w:rsidRPr="006C6879">
        <w:rPr>
          <w:rFonts w:ascii="Century Schoolbook" w:hAnsi="Century Schoolbook" w:cs="Times New Roman"/>
          <w:sz w:val="24"/>
          <w:szCs w:val="24"/>
        </w:rPr>
        <w:t xml:space="preserve">officers advanced a </w:t>
      </w:r>
      <w:r w:rsidR="009200BB">
        <w:rPr>
          <w:rFonts w:ascii="Century Schoolbook" w:hAnsi="Century Schoolbook" w:cs="Times New Roman"/>
          <w:sz w:val="24"/>
          <w:szCs w:val="24"/>
        </w:rPr>
        <w:t>shambles</w:t>
      </w:r>
      <w:r w:rsidR="0096454D" w:rsidRPr="006C6879">
        <w:rPr>
          <w:rFonts w:ascii="Century Schoolbook" w:hAnsi="Century Schoolbook" w:cs="Times New Roman"/>
          <w:sz w:val="24"/>
          <w:szCs w:val="24"/>
        </w:rPr>
        <w:t xml:space="preserve"> of</w:t>
      </w:r>
      <w:r w:rsidR="00A80519" w:rsidRPr="006C6879">
        <w:rPr>
          <w:rFonts w:ascii="Century Schoolbook" w:hAnsi="Century Schoolbook" w:cs="Times New Roman"/>
          <w:sz w:val="24"/>
          <w:szCs w:val="24"/>
        </w:rPr>
        <w:t xml:space="preserve"> </w:t>
      </w:r>
      <w:r w:rsidR="000359A9">
        <w:rPr>
          <w:rFonts w:ascii="Century Schoolbook" w:hAnsi="Century Schoolbook" w:cs="Times New Roman"/>
          <w:sz w:val="24"/>
          <w:szCs w:val="24"/>
        </w:rPr>
        <w:t xml:space="preserve">manifestly </w:t>
      </w:r>
      <w:r w:rsidR="00A80519" w:rsidRPr="006C6879">
        <w:rPr>
          <w:rFonts w:ascii="Century Schoolbook" w:hAnsi="Century Schoolbook" w:cs="Times New Roman"/>
          <w:sz w:val="24"/>
          <w:szCs w:val="24"/>
        </w:rPr>
        <w:t>untruthful,</w:t>
      </w:r>
      <w:r w:rsidR="0096454D" w:rsidRPr="006C6879">
        <w:rPr>
          <w:rFonts w:ascii="Century Schoolbook" w:hAnsi="Century Schoolbook" w:cs="Times New Roman"/>
          <w:sz w:val="24"/>
          <w:szCs w:val="24"/>
        </w:rPr>
        <w:t xml:space="preserve"> </w:t>
      </w:r>
      <w:r w:rsidR="00D723D7" w:rsidRPr="006C6879">
        <w:rPr>
          <w:rFonts w:ascii="Century Schoolbook" w:hAnsi="Century Schoolbook" w:cs="Times New Roman"/>
          <w:sz w:val="24"/>
          <w:szCs w:val="24"/>
        </w:rPr>
        <w:t>shift</w:t>
      </w:r>
      <w:r w:rsidR="005345AC" w:rsidRPr="006C6879">
        <w:rPr>
          <w:rFonts w:ascii="Century Schoolbook" w:hAnsi="Century Schoolbook" w:cs="Times New Roman"/>
          <w:sz w:val="24"/>
          <w:szCs w:val="24"/>
        </w:rPr>
        <w:t>ing</w:t>
      </w:r>
      <w:r w:rsidR="00A80519" w:rsidRPr="006C6879">
        <w:rPr>
          <w:rFonts w:ascii="Century Schoolbook" w:hAnsi="Century Schoolbook" w:cs="Times New Roman"/>
          <w:sz w:val="24"/>
          <w:szCs w:val="24"/>
        </w:rPr>
        <w:t xml:space="preserve">, </w:t>
      </w:r>
      <w:r w:rsidR="00413970">
        <w:rPr>
          <w:rFonts w:ascii="Century Schoolbook" w:hAnsi="Century Schoolbook" w:cs="Times New Roman"/>
          <w:sz w:val="24"/>
          <w:szCs w:val="24"/>
        </w:rPr>
        <w:t xml:space="preserve">vacillating, </w:t>
      </w:r>
      <w:r w:rsidR="0096454D" w:rsidRPr="006C6879">
        <w:rPr>
          <w:rFonts w:ascii="Century Schoolbook" w:hAnsi="Century Schoolbook" w:cs="Times New Roman"/>
          <w:sz w:val="24"/>
          <w:szCs w:val="24"/>
        </w:rPr>
        <w:t>radically contradictory</w:t>
      </w:r>
      <w:r w:rsidR="00A80519" w:rsidRPr="006C6879">
        <w:rPr>
          <w:rFonts w:ascii="Century Schoolbook" w:hAnsi="Century Schoolbook" w:cs="Times New Roman"/>
          <w:sz w:val="24"/>
          <w:szCs w:val="24"/>
        </w:rPr>
        <w:t>, mutually exclusive and destructive</w:t>
      </w:r>
      <w:r w:rsidR="0096454D" w:rsidRPr="006C6879">
        <w:rPr>
          <w:rFonts w:ascii="Century Schoolbook" w:hAnsi="Century Schoolbook" w:cs="Times New Roman"/>
          <w:sz w:val="24"/>
          <w:szCs w:val="24"/>
        </w:rPr>
        <w:t xml:space="preserve"> </w:t>
      </w:r>
      <w:r w:rsidR="00A80519" w:rsidRPr="006C6879">
        <w:rPr>
          <w:rFonts w:ascii="Century Schoolbook" w:hAnsi="Century Schoolbook" w:cs="Times New Roman"/>
          <w:sz w:val="24"/>
          <w:szCs w:val="24"/>
        </w:rPr>
        <w:t>excuses</w:t>
      </w:r>
      <w:r w:rsidR="001C43EA">
        <w:rPr>
          <w:rFonts w:ascii="Century Schoolbook" w:hAnsi="Century Schoolbook" w:cs="Times New Roman"/>
          <w:sz w:val="24"/>
          <w:szCs w:val="24"/>
        </w:rPr>
        <w:t>, all objectively demonstrably false,</w:t>
      </w:r>
      <w:r w:rsidRPr="006C6879">
        <w:rPr>
          <w:rFonts w:ascii="Century Schoolbook" w:hAnsi="Century Schoolbook" w:cs="Times New Roman"/>
          <w:sz w:val="24"/>
          <w:szCs w:val="24"/>
        </w:rPr>
        <w:t xml:space="preserve"> for not completing the </w:t>
      </w:r>
      <w:r w:rsidR="00B34CDC">
        <w:rPr>
          <w:rFonts w:ascii="Century Schoolbook" w:hAnsi="Century Schoolbook" w:cs="Times New Roman"/>
          <w:sz w:val="24"/>
          <w:szCs w:val="24"/>
        </w:rPr>
        <w:t xml:space="preserve">Pietermaritzburg and Durban Senior Litigator </w:t>
      </w:r>
      <w:r w:rsidRPr="006C6879">
        <w:rPr>
          <w:rFonts w:ascii="Century Schoolbook" w:hAnsi="Century Schoolbook" w:cs="Times New Roman"/>
          <w:sz w:val="24"/>
          <w:szCs w:val="24"/>
        </w:rPr>
        <w:t>recruitments, and</w:t>
      </w:r>
      <w:r w:rsidR="00344014" w:rsidRPr="00344014">
        <w:rPr>
          <w:rFonts w:ascii="Century Schoolbook" w:hAnsi="Century Schoolbook" w:cs="Times New Roman"/>
          <w:sz w:val="24"/>
          <w:szCs w:val="24"/>
        </w:rPr>
        <w:t xml:space="preserve"> </w:t>
      </w:r>
      <w:r w:rsidR="00344014">
        <w:rPr>
          <w:rFonts w:ascii="Century Schoolbook" w:hAnsi="Century Schoolbook" w:cs="Times New Roman"/>
          <w:sz w:val="24"/>
          <w:szCs w:val="24"/>
        </w:rPr>
        <w:t>several months later</w:t>
      </w:r>
      <w:r w:rsidRPr="006C6879">
        <w:rPr>
          <w:rFonts w:ascii="Century Schoolbook" w:hAnsi="Century Schoolbook" w:cs="Times New Roman"/>
          <w:sz w:val="24"/>
          <w:szCs w:val="24"/>
        </w:rPr>
        <w:t xml:space="preserve"> for </w:t>
      </w:r>
      <w:r w:rsidR="00762D1B" w:rsidRPr="006C6879">
        <w:rPr>
          <w:rFonts w:ascii="Century Schoolbook" w:hAnsi="Century Schoolbook" w:cs="Times New Roman"/>
          <w:sz w:val="24"/>
          <w:szCs w:val="24"/>
        </w:rPr>
        <w:t>cancelling</w:t>
      </w:r>
      <w:r w:rsidRPr="006C6879">
        <w:rPr>
          <w:rFonts w:ascii="Century Schoolbook" w:hAnsi="Century Schoolbook" w:cs="Times New Roman"/>
          <w:sz w:val="24"/>
          <w:szCs w:val="24"/>
        </w:rPr>
        <w:t xml:space="preserve"> the </w:t>
      </w:r>
      <w:r w:rsidR="00B464FF" w:rsidRPr="006C6879">
        <w:rPr>
          <w:rFonts w:ascii="Century Schoolbook" w:hAnsi="Century Schoolbook" w:cs="Times New Roman"/>
          <w:sz w:val="24"/>
          <w:szCs w:val="24"/>
        </w:rPr>
        <w:t xml:space="preserve">transfer </w:t>
      </w:r>
      <w:r w:rsidR="00B464FF">
        <w:rPr>
          <w:rFonts w:ascii="Century Schoolbook" w:hAnsi="Century Schoolbook" w:cs="Times New Roman"/>
          <w:sz w:val="24"/>
          <w:szCs w:val="24"/>
        </w:rPr>
        <w:t xml:space="preserve">of the </w:t>
      </w:r>
      <w:r w:rsidR="00E70182" w:rsidRPr="006C6879">
        <w:rPr>
          <w:rFonts w:ascii="Century Schoolbook" w:hAnsi="Century Schoolbook" w:cs="Times New Roman"/>
          <w:sz w:val="24"/>
          <w:szCs w:val="24"/>
        </w:rPr>
        <w:t xml:space="preserve">Mahikeng Senior Litigator </w:t>
      </w:r>
      <w:r w:rsidRPr="006C6879">
        <w:rPr>
          <w:rFonts w:ascii="Century Schoolbook" w:hAnsi="Century Schoolbook" w:cs="Times New Roman"/>
          <w:sz w:val="24"/>
          <w:szCs w:val="24"/>
        </w:rPr>
        <w:t>to the new Mthatha Senior Litigator post</w:t>
      </w:r>
      <w:r w:rsidR="00B464FF">
        <w:rPr>
          <w:rFonts w:ascii="Century Schoolbook" w:hAnsi="Century Schoolbook" w:cs="Times New Roman"/>
          <w:sz w:val="24"/>
          <w:szCs w:val="24"/>
        </w:rPr>
        <w:t>, for which he’d been selected and recommended in May 2010</w:t>
      </w:r>
      <w:r w:rsidR="00274CA6">
        <w:rPr>
          <w:rFonts w:ascii="Century Schoolbook" w:hAnsi="Century Schoolbook" w:cs="Times New Roman"/>
          <w:sz w:val="24"/>
          <w:szCs w:val="24"/>
        </w:rPr>
        <w:t>.</w:t>
      </w:r>
      <w:r w:rsidR="00460A95">
        <w:rPr>
          <w:rFonts w:ascii="Century Schoolbook" w:hAnsi="Century Schoolbook" w:cs="Times New Roman"/>
          <w:sz w:val="24"/>
          <w:szCs w:val="24"/>
        </w:rPr>
        <w:t xml:space="preserve"> </w:t>
      </w:r>
      <w:r w:rsidR="00AD6F13" w:rsidRPr="00460A95">
        <w:rPr>
          <w:rFonts w:ascii="Century Schoolbook" w:hAnsi="Century Schoolbook" w:cs="Times New Roman"/>
          <w:sz w:val="24"/>
          <w:szCs w:val="24"/>
        </w:rPr>
        <w:t>Another part of this complaint to follow will quote and refute, in light of LASA’s own records, the</w:t>
      </w:r>
      <w:r w:rsidR="00C1094D" w:rsidRPr="00460A95">
        <w:rPr>
          <w:rFonts w:ascii="Century Schoolbook" w:hAnsi="Century Schoolbook" w:cs="Times New Roman"/>
          <w:sz w:val="24"/>
          <w:szCs w:val="24"/>
        </w:rPr>
        <w:t xml:space="preserve"> </w:t>
      </w:r>
      <w:r w:rsidR="00C8265F" w:rsidRPr="00460A95">
        <w:rPr>
          <w:rFonts w:ascii="Century Schoolbook" w:hAnsi="Century Schoolbook" w:cs="Times New Roman"/>
          <w:sz w:val="24"/>
          <w:szCs w:val="24"/>
        </w:rPr>
        <w:t>profusion</w:t>
      </w:r>
      <w:r w:rsidR="00C1094D" w:rsidRPr="00460A95">
        <w:rPr>
          <w:rFonts w:ascii="Century Schoolbook" w:hAnsi="Century Schoolbook" w:cs="Times New Roman"/>
          <w:sz w:val="24"/>
          <w:szCs w:val="24"/>
        </w:rPr>
        <w:t xml:space="preserve"> of </w:t>
      </w:r>
      <w:r w:rsidR="00C8265F" w:rsidRPr="00460A95">
        <w:rPr>
          <w:rFonts w:ascii="Century Schoolbook" w:hAnsi="Century Schoolbook" w:cs="Times New Roman"/>
          <w:sz w:val="24"/>
          <w:szCs w:val="24"/>
        </w:rPr>
        <w:t xml:space="preserve">chaotically </w:t>
      </w:r>
      <w:r w:rsidR="00F2375E" w:rsidRPr="00460A95">
        <w:rPr>
          <w:rFonts w:ascii="Century Schoolbook" w:hAnsi="Century Schoolbook" w:cs="Times New Roman"/>
          <w:sz w:val="24"/>
          <w:szCs w:val="24"/>
        </w:rPr>
        <w:t>inconsistent</w:t>
      </w:r>
      <w:r w:rsidR="005A6AF9" w:rsidRPr="00460A95">
        <w:rPr>
          <w:rFonts w:ascii="Century Schoolbook" w:hAnsi="Century Schoolbook" w:cs="Times New Roman"/>
          <w:sz w:val="24"/>
          <w:szCs w:val="24"/>
        </w:rPr>
        <w:t xml:space="preserve"> changing</w:t>
      </w:r>
      <w:r w:rsidR="00F2375E" w:rsidRPr="00460A95">
        <w:rPr>
          <w:rFonts w:ascii="Century Schoolbook" w:hAnsi="Century Schoolbook" w:cs="Times New Roman"/>
          <w:sz w:val="24"/>
          <w:szCs w:val="24"/>
        </w:rPr>
        <w:t xml:space="preserve"> </w:t>
      </w:r>
      <w:r w:rsidR="00C1094D" w:rsidRPr="00460A95">
        <w:rPr>
          <w:rFonts w:ascii="Century Schoolbook" w:hAnsi="Century Schoolbook" w:cs="Times New Roman"/>
          <w:sz w:val="24"/>
          <w:szCs w:val="24"/>
        </w:rPr>
        <w:t>lies</w:t>
      </w:r>
      <w:r w:rsidR="00B464FF" w:rsidRPr="00B464FF">
        <w:rPr>
          <w:rFonts w:ascii="Century Schoolbook" w:hAnsi="Century Schoolbook" w:cs="Times New Roman"/>
          <w:sz w:val="24"/>
          <w:szCs w:val="24"/>
        </w:rPr>
        <w:t xml:space="preserve"> </w:t>
      </w:r>
      <w:r w:rsidR="00B464FF" w:rsidRPr="00460A95">
        <w:rPr>
          <w:rFonts w:ascii="Century Schoolbook" w:hAnsi="Century Schoolbook" w:cs="Times New Roman"/>
          <w:sz w:val="24"/>
          <w:szCs w:val="24"/>
        </w:rPr>
        <w:t>told by LASA’s top officers to falsely justify the off-the-record, unauthori</w:t>
      </w:r>
      <w:r w:rsidR="00EC5A62">
        <w:rPr>
          <w:rFonts w:ascii="Century Schoolbook" w:hAnsi="Century Schoolbook" w:cs="Times New Roman"/>
          <w:sz w:val="24"/>
          <w:szCs w:val="24"/>
        </w:rPr>
        <w:t>z</w:t>
      </w:r>
      <w:r w:rsidR="00B464FF" w:rsidRPr="00460A95">
        <w:rPr>
          <w:rFonts w:ascii="Century Schoolbook" w:hAnsi="Century Schoolbook" w:cs="Times New Roman"/>
          <w:sz w:val="24"/>
          <w:szCs w:val="24"/>
        </w:rPr>
        <w:t>ed, unlawful abortion of the Pietermaritzburg, Durban and Mthatha Senior Litigator recruitments, and to cover ethical recruitment corruption (jobs for pals) in the case of the Pietermaritzburg post</w:t>
      </w:r>
      <w:r w:rsidR="00C1094D" w:rsidRPr="00460A95">
        <w:rPr>
          <w:rFonts w:ascii="Century Schoolbook" w:hAnsi="Century Schoolbook" w:cs="Times New Roman"/>
          <w:sz w:val="24"/>
          <w:szCs w:val="24"/>
        </w:rPr>
        <w:t xml:space="preserve"> </w:t>
      </w:r>
      <w:r w:rsidR="00F2375E" w:rsidRPr="00460A95">
        <w:rPr>
          <w:rFonts w:ascii="Century Schoolbook" w:hAnsi="Century Schoolbook" w:cs="Times New Roman"/>
          <w:sz w:val="24"/>
          <w:szCs w:val="24"/>
        </w:rPr>
        <w:t xml:space="preserve">– </w:t>
      </w:r>
      <w:r w:rsidR="001353E6" w:rsidRPr="00460A95">
        <w:rPr>
          <w:rFonts w:ascii="Century Schoolbook" w:hAnsi="Century Schoolbook" w:cs="Times New Roman"/>
          <w:sz w:val="24"/>
          <w:szCs w:val="24"/>
        </w:rPr>
        <w:t>starting with</w:t>
      </w:r>
      <w:r w:rsidR="003F4356" w:rsidRPr="00460A95">
        <w:rPr>
          <w:rFonts w:ascii="Century Schoolbook" w:hAnsi="Century Schoolbook" w:cs="Times New Roman"/>
          <w:sz w:val="24"/>
          <w:szCs w:val="24"/>
        </w:rPr>
        <w:t xml:space="preserve"> ‘there was a funding shortage at the time that [th</w:t>
      </w:r>
      <w:r w:rsidR="00344014" w:rsidRPr="00460A95">
        <w:rPr>
          <w:rFonts w:ascii="Century Schoolbook" w:hAnsi="Century Schoolbook" w:cs="Times New Roman"/>
          <w:sz w:val="24"/>
          <w:szCs w:val="24"/>
        </w:rPr>
        <w:t xml:space="preserve">e </w:t>
      </w:r>
      <w:r w:rsidR="003F4356" w:rsidRPr="00460A95">
        <w:rPr>
          <w:rFonts w:ascii="Century Schoolbook" w:hAnsi="Century Schoolbook" w:cs="Times New Roman"/>
          <w:sz w:val="24"/>
          <w:szCs w:val="24"/>
        </w:rPr>
        <w:t>complainant] had applied for the Senior Litigator post’</w:t>
      </w:r>
      <w:r w:rsidR="00457FB1">
        <w:rPr>
          <w:rFonts w:ascii="Century Schoolbook" w:hAnsi="Century Schoolbook" w:cs="Times New Roman"/>
          <w:sz w:val="24"/>
          <w:szCs w:val="24"/>
        </w:rPr>
        <w:t>,</w:t>
      </w:r>
      <w:r w:rsidR="003F4356" w:rsidRPr="003F4356">
        <w:rPr>
          <w:rStyle w:val="FootnoteReference"/>
          <w:rFonts w:ascii="Century Schoolbook" w:hAnsi="Century Schoolbook"/>
          <w:color w:val="000000" w:themeColor="text1"/>
          <w:sz w:val="24"/>
          <w:szCs w:val="24"/>
        </w:rPr>
        <w:footnoteReference w:id="124"/>
      </w:r>
      <w:r w:rsidR="003F4356" w:rsidRPr="00460A95">
        <w:rPr>
          <w:rFonts w:ascii="Century Schoolbook" w:hAnsi="Century Schoolbook"/>
          <w:color w:val="000000" w:themeColor="text1"/>
          <w:sz w:val="24"/>
          <w:szCs w:val="24"/>
        </w:rPr>
        <w:t xml:space="preserve"> </w:t>
      </w:r>
      <w:r w:rsidR="00457FB1">
        <w:rPr>
          <w:rFonts w:ascii="Century Schoolbook" w:hAnsi="Century Schoolbook"/>
          <w:color w:val="000000" w:themeColor="text1"/>
          <w:sz w:val="24"/>
          <w:szCs w:val="24"/>
        </w:rPr>
        <w:t xml:space="preserve">i.e. </w:t>
      </w:r>
      <w:r w:rsidR="003F4356" w:rsidRPr="00460A95">
        <w:rPr>
          <w:rFonts w:ascii="Century Schoolbook" w:hAnsi="Century Schoolbook"/>
          <w:color w:val="000000" w:themeColor="text1"/>
          <w:sz w:val="24"/>
          <w:szCs w:val="24"/>
        </w:rPr>
        <w:t>on 2 October 2009,</w:t>
      </w:r>
      <w:r w:rsidR="003F4356" w:rsidRPr="003F4356">
        <w:rPr>
          <w:rStyle w:val="FootnoteReference"/>
          <w:rFonts w:ascii="Century Schoolbook" w:hAnsi="Century Schoolbook"/>
          <w:color w:val="000000" w:themeColor="text1"/>
          <w:sz w:val="24"/>
          <w:szCs w:val="24"/>
        </w:rPr>
        <w:footnoteReference w:id="125"/>
      </w:r>
      <w:r w:rsidR="003F4356" w:rsidRPr="00460A95">
        <w:rPr>
          <w:rFonts w:ascii="Century Schoolbook" w:hAnsi="Century Schoolbook"/>
          <w:color w:val="000000" w:themeColor="text1"/>
          <w:sz w:val="24"/>
          <w:szCs w:val="24"/>
        </w:rPr>
        <w:t xml:space="preserve"> </w:t>
      </w:r>
      <w:r w:rsidR="00344014" w:rsidRPr="00460A95">
        <w:rPr>
          <w:rFonts w:ascii="Century Schoolbook" w:hAnsi="Century Schoolbook"/>
          <w:color w:val="000000" w:themeColor="text1"/>
          <w:sz w:val="24"/>
          <w:szCs w:val="24"/>
        </w:rPr>
        <w:t xml:space="preserve">which is to say </w:t>
      </w:r>
      <w:r w:rsidR="00F2375E" w:rsidRPr="00460A95">
        <w:rPr>
          <w:rFonts w:ascii="Century Schoolbook" w:hAnsi="Century Schoolbook" w:cs="Times New Roman"/>
          <w:sz w:val="24"/>
          <w:szCs w:val="24"/>
        </w:rPr>
        <w:t>‘</w:t>
      </w:r>
      <w:r w:rsidR="00F2375E" w:rsidRPr="00460A95">
        <w:rPr>
          <w:rFonts w:ascii="Century Schoolbook" w:hAnsi="Century Schoolbook"/>
          <w:color w:val="000000" w:themeColor="text1"/>
          <w:sz w:val="24"/>
          <w:szCs w:val="24"/>
        </w:rPr>
        <w:t xml:space="preserve">there was no </w:t>
      </w:r>
      <w:r w:rsidR="00413970" w:rsidRPr="00460A95">
        <w:rPr>
          <w:rFonts w:ascii="Century Schoolbook" w:hAnsi="Century Schoolbook"/>
          <w:color w:val="000000" w:themeColor="text1"/>
          <w:sz w:val="24"/>
          <w:szCs w:val="24"/>
        </w:rPr>
        <w:t>...</w:t>
      </w:r>
      <w:r w:rsidR="00F2375E" w:rsidRPr="00460A95">
        <w:rPr>
          <w:rFonts w:ascii="Century Schoolbook" w:hAnsi="Century Schoolbook"/>
          <w:color w:val="000000" w:themeColor="text1"/>
          <w:sz w:val="24"/>
          <w:szCs w:val="24"/>
        </w:rPr>
        <w:t xml:space="preserve"> funding … to fill the vacant posts’</w:t>
      </w:r>
      <w:r w:rsidR="00F2375E" w:rsidRPr="00F2375E">
        <w:rPr>
          <w:rStyle w:val="FootnoteReference"/>
          <w:rFonts w:ascii="Century Schoolbook" w:hAnsi="Century Schoolbook"/>
          <w:color w:val="000000" w:themeColor="text1"/>
          <w:sz w:val="24"/>
          <w:szCs w:val="24"/>
        </w:rPr>
        <w:footnoteReference w:id="126"/>
      </w:r>
      <w:r w:rsidR="00F2375E" w:rsidRPr="00460A95">
        <w:rPr>
          <w:rFonts w:ascii="Century Schoolbook" w:hAnsi="Century Schoolbook"/>
          <w:color w:val="000000" w:themeColor="text1"/>
          <w:sz w:val="24"/>
          <w:szCs w:val="24"/>
        </w:rPr>
        <w:t xml:space="preserve"> –</w:t>
      </w:r>
      <w:r w:rsidR="00B464FF">
        <w:rPr>
          <w:rFonts w:ascii="Century Schoolbook" w:hAnsi="Century Schoolbook"/>
          <w:color w:val="000000" w:themeColor="text1"/>
          <w:sz w:val="24"/>
          <w:szCs w:val="24"/>
        </w:rPr>
        <w:t xml:space="preserve"> </w:t>
      </w:r>
      <w:r w:rsidR="003F4356" w:rsidRPr="00460A95">
        <w:rPr>
          <w:rFonts w:ascii="Century Schoolbook" w:hAnsi="Century Schoolbook" w:cs="Times New Roman"/>
          <w:sz w:val="24"/>
          <w:szCs w:val="24"/>
        </w:rPr>
        <w:t>which blatant lie</w:t>
      </w:r>
      <w:r w:rsidR="00AD6F13" w:rsidRPr="00460A95">
        <w:rPr>
          <w:rFonts w:ascii="Century Schoolbook" w:hAnsi="Century Schoolbook" w:cs="Times New Roman"/>
          <w:sz w:val="24"/>
          <w:szCs w:val="24"/>
        </w:rPr>
        <w:t xml:space="preserve"> w</w:t>
      </w:r>
      <w:r w:rsidR="00B464FF">
        <w:rPr>
          <w:rFonts w:ascii="Century Schoolbook" w:hAnsi="Century Schoolbook" w:cs="Times New Roman"/>
          <w:sz w:val="24"/>
          <w:szCs w:val="24"/>
        </w:rPr>
        <w:t>as</w:t>
      </w:r>
      <w:r w:rsidR="00743EA0" w:rsidRPr="00460A95">
        <w:rPr>
          <w:rFonts w:ascii="Century Schoolbook" w:hAnsi="Century Schoolbook" w:cs="Times New Roman"/>
          <w:sz w:val="24"/>
          <w:szCs w:val="24"/>
        </w:rPr>
        <w:t xml:space="preserve"> afterwards </w:t>
      </w:r>
      <w:r w:rsidR="003F4356" w:rsidRPr="00460A95">
        <w:rPr>
          <w:rFonts w:ascii="Century Schoolbook" w:hAnsi="Century Schoolbook" w:cs="Times New Roman"/>
          <w:sz w:val="24"/>
          <w:szCs w:val="24"/>
        </w:rPr>
        <w:t xml:space="preserve">substituted with </w:t>
      </w:r>
      <w:r w:rsidR="00B464FF">
        <w:rPr>
          <w:rFonts w:ascii="Century Schoolbook" w:hAnsi="Century Schoolbook" w:cs="Times New Roman"/>
          <w:sz w:val="24"/>
          <w:szCs w:val="24"/>
        </w:rPr>
        <w:t xml:space="preserve">other </w:t>
      </w:r>
      <w:r w:rsidR="003F4356" w:rsidRPr="00460A95">
        <w:rPr>
          <w:rFonts w:ascii="Century Schoolbook" w:hAnsi="Century Schoolbook" w:cs="Times New Roman"/>
          <w:sz w:val="24"/>
          <w:szCs w:val="24"/>
        </w:rPr>
        <w:t xml:space="preserve">completely different contradictory </w:t>
      </w:r>
      <w:r w:rsidR="003000D4">
        <w:rPr>
          <w:rFonts w:ascii="Century Schoolbook" w:hAnsi="Century Schoolbook" w:cs="Times New Roman"/>
          <w:sz w:val="24"/>
          <w:szCs w:val="24"/>
        </w:rPr>
        <w:t xml:space="preserve">blatant </w:t>
      </w:r>
      <w:r w:rsidR="003F4356" w:rsidRPr="00460A95">
        <w:rPr>
          <w:rFonts w:ascii="Century Schoolbook" w:hAnsi="Century Schoolbook" w:cs="Times New Roman"/>
          <w:sz w:val="24"/>
          <w:szCs w:val="24"/>
        </w:rPr>
        <w:t>lies</w:t>
      </w:r>
      <w:r w:rsidR="00AD6F13" w:rsidRPr="00460A95">
        <w:rPr>
          <w:rFonts w:ascii="Century Schoolbook" w:hAnsi="Century Schoolbook" w:cs="Times New Roman"/>
          <w:sz w:val="24"/>
          <w:szCs w:val="24"/>
        </w:rPr>
        <w:t>.</w:t>
      </w:r>
    </w:p>
    <w:p w:rsidR="00A42AF2" w:rsidRPr="006C6879" w:rsidRDefault="00A42AF2" w:rsidP="00AA325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lastRenderedPageBreak/>
        <w:t xml:space="preserve">The result of the illegal abortion of the </w:t>
      </w:r>
      <w:r w:rsidR="00441CA5" w:rsidRPr="006C6879">
        <w:rPr>
          <w:rFonts w:ascii="Century Schoolbook" w:hAnsi="Century Schoolbook" w:cs="Times New Roman"/>
          <w:sz w:val="24"/>
          <w:szCs w:val="24"/>
        </w:rPr>
        <w:t xml:space="preserve">three </w:t>
      </w:r>
      <w:r w:rsidR="00AC5AD4">
        <w:rPr>
          <w:rFonts w:ascii="Century Schoolbook" w:hAnsi="Century Schoolbook" w:cs="Times New Roman"/>
          <w:sz w:val="24"/>
          <w:szCs w:val="24"/>
        </w:rPr>
        <w:t>substantially complete</w:t>
      </w:r>
      <w:r w:rsidR="005836E0">
        <w:rPr>
          <w:rFonts w:ascii="Century Schoolbook" w:hAnsi="Century Schoolbook" w:cs="Times New Roman"/>
          <w:sz w:val="24"/>
          <w:szCs w:val="24"/>
        </w:rPr>
        <w:t xml:space="preserve"> recruitment</w:t>
      </w:r>
      <w:r w:rsidR="00AC5AD4">
        <w:rPr>
          <w:rFonts w:ascii="Century Schoolbook" w:hAnsi="Century Schoolbook" w:cs="Times New Roman"/>
          <w:sz w:val="24"/>
          <w:szCs w:val="24"/>
        </w:rPr>
        <w:t xml:space="preserve"> operations </w:t>
      </w:r>
      <w:r w:rsidR="005836E0">
        <w:rPr>
          <w:rFonts w:ascii="Century Schoolbook" w:hAnsi="Century Schoolbook" w:cs="Times New Roman"/>
          <w:sz w:val="24"/>
          <w:szCs w:val="24"/>
        </w:rPr>
        <w:t xml:space="preserve">for the </w:t>
      </w:r>
      <w:r w:rsidR="005836E0" w:rsidRPr="006C6879">
        <w:rPr>
          <w:rFonts w:ascii="Century Schoolbook" w:hAnsi="Century Schoolbook" w:cs="Times New Roman"/>
          <w:sz w:val="24"/>
          <w:szCs w:val="24"/>
        </w:rPr>
        <w:t>Pietermaritzburg, Durban and Mthatha</w:t>
      </w:r>
      <w:r w:rsidR="005836E0">
        <w:rPr>
          <w:rFonts w:ascii="Century Schoolbook" w:hAnsi="Century Schoolbook" w:cs="Times New Roman"/>
          <w:sz w:val="24"/>
          <w:szCs w:val="24"/>
        </w:rPr>
        <w:t xml:space="preserve"> </w:t>
      </w:r>
      <w:r w:rsidR="00AC5AD4">
        <w:rPr>
          <w:rFonts w:ascii="Century Schoolbook" w:hAnsi="Century Schoolbook" w:cs="Times New Roman"/>
          <w:sz w:val="24"/>
          <w:szCs w:val="24"/>
        </w:rPr>
        <w:t>Senior Litigator</w:t>
      </w:r>
      <w:r w:rsidR="005836E0">
        <w:rPr>
          <w:rFonts w:ascii="Century Schoolbook" w:hAnsi="Century Schoolbook" w:cs="Times New Roman"/>
          <w:sz w:val="24"/>
          <w:szCs w:val="24"/>
        </w:rPr>
        <w:t xml:space="preserve"> posts</w:t>
      </w:r>
      <w:r w:rsidRPr="006C6879">
        <w:rPr>
          <w:rFonts w:ascii="Century Schoolbook" w:hAnsi="Century Schoolbook" w:cs="Times New Roman"/>
          <w:sz w:val="24"/>
          <w:szCs w:val="24"/>
        </w:rPr>
        <w:t>, and the unlawful deliberate failure to complete LASA’s Strategic Plan 2009</w:t>
      </w:r>
      <w:r w:rsidR="001671BE">
        <w:rPr>
          <w:rFonts w:ascii="Century Schoolbook" w:hAnsi="Century Schoolbook" w:cs="Times New Roman"/>
          <w:sz w:val="24"/>
          <w:szCs w:val="24"/>
        </w:rPr>
        <w:t>–</w:t>
      </w:r>
      <w:r w:rsidRPr="006C6879">
        <w:rPr>
          <w:rFonts w:ascii="Century Schoolbook" w:hAnsi="Century Schoolbook" w:cs="Times New Roman"/>
          <w:sz w:val="24"/>
          <w:szCs w:val="24"/>
        </w:rPr>
        <w:t>12</w:t>
      </w:r>
      <w:r w:rsidR="00AC5AD4">
        <w:rPr>
          <w:rFonts w:ascii="Century Schoolbook" w:hAnsi="Century Schoolbook" w:cs="Times New Roman"/>
          <w:sz w:val="24"/>
          <w:szCs w:val="24"/>
        </w:rPr>
        <w:t xml:space="preserve"> regard</w:t>
      </w:r>
      <w:r w:rsidR="005836E0">
        <w:rPr>
          <w:rFonts w:ascii="Century Schoolbook" w:hAnsi="Century Schoolbook" w:cs="Times New Roman"/>
          <w:sz w:val="24"/>
          <w:szCs w:val="24"/>
        </w:rPr>
        <w:t>ing the employment of Senior Litigators</w:t>
      </w:r>
      <w:r w:rsidRPr="006C6879">
        <w:rPr>
          <w:rFonts w:ascii="Century Schoolbook" w:hAnsi="Century Schoolbook" w:cs="Times New Roman"/>
          <w:sz w:val="24"/>
          <w:szCs w:val="24"/>
        </w:rPr>
        <w:t>, is that t</w:t>
      </w:r>
      <w:r w:rsidR="0096454D" w:rsidRPr="006C6879">
        <w:rPr>
          <w:rFonts w:ascii="Century Schoolbook" w:hAnsi="Century Schoolbook" w:cs="Times New Roman"/>
          <w:sz w:val="24"/>
          <w:szCs w:val="24"/>
        </w:rPr>
        <w:t>he</w:t>
      </w:r>
      <w:r w:rsidR="00A80519" w:rsidRPr="006C6879">
        <w:rPr>
          <w:rFonts w:ascii="Century Schoolbook" w:hAnsi="Century Schoolbook" w:cs="Times New Roman"/>
          <w:sz w:val="24"/>
          <w:szCs w:val="24"/>
        </w:rPr>
        <w:t>se</w:t>
      </w:r>
      <w:r w:rsidR="0096454D" w:rsidRPr="006C6879">
        <w:rPr>
          <w:rFonts w:ascii="Century Schoolbook" w:hAnsi="Century Schoolbook" w:cs="Times New Roman"/>
          <w:sz w:val="24"/>
          <w:szCs w:val="24"/>
        </w:rPr>
        <w:t xml:space="preserve"> </w:t>
      </w:r>
      <w:r w:rsidR="00BA4A98" w:rsidRPr="006C6879">
        <w:rPr>
          <w:rFonts w:ascii="Century Schoolbook" w:hAnsi="Century Schoolbook" w:cs="Times New Roman"/>
          <w:sz w:val="24"/>
          <w:szCs w:val="24"/>
        </w:rPr>
        <w:t xml:space="preserve">then and still </w:t>
      </w:r>
      <w:r w:rsidR="00C149AD" w:rsidRPr="006C6879">
        <w:rPr>
          <w:rFonts w:ascii="Century Schoolbook" w:hAnsi="Century Schoolbook" w:cs="Times New Roman"/>
          <w:sz w:val="24"/>
          <w:szCs w:val="24"/>
        </w:rPr>
        <w:t xml:space="preserve">budgeted and funded </w:t>
      </w:r>
      <w:r w:rsidRPr="006C6879">
        <w:rPr>
          <w:rFonts w:ascii="Century Schoolbook" w:hAnsi="Century Schoolbook" w:cs="Times New Roman"/>
          <w:sz w:val="24"/>
          <w:szCs w:val="24"/>
        </w:rPr>
        <w:t xml:space="preserve">top critical specialist legal professional posts </w:t>
      </w:r>
      <w:r w:rsidR="0096454D" w:rsidRPr="006C6879">
        <w:rPr>
          <w:rFonts w:ascii="Century Schoolbook" w:hAnsi="Century Schoolbook" w:cs="Times New Roman"/>
          <w:sz w:val="24"/>
          <w:szCs w:val="24"/>
        </w:rPr>
        <w:t xml:space="preserve">have </w:t>
      </w:r>
      <w:r w:rsidR="00C149AD" w:rsidRPr="006C6879">
        <w:rPr>
          <w:rFonts w:ascii="Century Schoolbook" w:hAnsi="Century Schoolbook" w:cs="Times New Roman"/>
          <w:sz w:val="24"/>
          <w:szCs w:val="24"/>
        </w:rPr>
        <w:t>unlawfully</w:t>
      </w:r>
      <w:r w:rsidR="00A80519" w:rsidRPr="006C6879">
        <w:rPr>
          <w:rFonts w:ascii="Century Schoolbook" w:hAnsi="Century Schoolbook" w:cs="Times New Roman"/>
          <w:sz w:val="24"/>
          <w:szCs w:val="24"/>
        </w:rPr>
        <w:t xml:space="preserve"> deliberately</w:t>
      </w:r>
      <w:r w:rsidR="00C149AD" w:rsidRPr="006C6879">
        <w:rPr>
          <w:rFonts w:ascii="Century Schoolbook" w:hAnsi="Century Schoolbook" w:cs="Times New Roman"/>
          <w:sz w:val="24"/>
          <w:szCs w:val="24"/>
        </w:rPr>
        <w:t xml:space="preserve"> been left </w:t>
      </w:r>
      <w:r w:rsidR="0096454D" w:rsidRPr="006C6879">
        <w:rPr>
          <w:rFonts w:ascii="Century Schoolbook" w:hAnsi="Century Schoolbook" w:cs="Times New Roman"/>
          <w:sz w:val="24"/>
          <w:szCs w:val="24"/>
        </w:rPr>
        <w:t>vacant</w:t>
      </w:r>
      <w:r w:rsidR="00C149AD" w:rsidRPr="006C6879">
        <w:rPr>
          <w:rFonts w:ascii="Century Schoolbook" w:hAnsi="Century Schoolbook" w:cs="Times New Roman"/>
          <w:sz w:val="24"/>
          <w:szCs w:val="24"/>
        </w:rPr>
        <w:t xml:space="preserve"> </w:t>
      </w:r>
      <w:r w:rsidR="00A80519" w:rsidRPr="006C6879">
        <w:rPr>
          <w:rFonts w:ascii="Century Schoolbook" w:hAnsi="Century Schoolbook" w:cs="Times New Roman"/>
          <w:sz w:val="24"/>
          <w:szCs w:val="24"/>
        </w:rPr>
        <w:t>f</w:t>
      </w:r>
      <w:r w:rsidR="001A0403" w:rsidRPr="006C6879">
        <w:rPr>
          <w:rFonts w:ascii="Century Schoolbook" w:hAnsi="Century Schoolbook" w:cs="Times New Roman"/>
          <w:sz w:val="24"/>
          <w:szCs w:val="24"/>
        </w:rPr>
        <w:t>or</w:t>
      </w:r>
      <w:r w:rsidR="00C149AD" w:rsidRPr="006C6879">
        <w:rPr>
          <w:rFonts w:ascii="Century Schoolbook" w:hAnsi="Century Schoolbook" w:cs="Times New Roman"/>
          <w:sz w:val="24"/>
          <w:szCs w:val="24"/>
        </w:rPr>
        <w:t xml:space="preserve"> a decade </w:t>
      </w:r>
      <w:r w:rsidR="001A0403" w:rsidRPr="006C6879">
        <w:rPr>
          <w:rFonts w:ascii="Century Schoolbook" w:hAnsi="Century Schoolbook" w:cs="Times New Roman"/>
          <w:sz w:val="24"/>
          <w:szCs w:val="24"/>
        </w:rPr>
        <w:t xml:space="preserve">since the </w:t>
      </w:r>
      <w:r w:rsidRPr="006C6879">
        <w:rPr>
          <w:rFonts w:ascii="Century Schoolbook" w:hAnsi="Century Schoolbook" w:cs="Times New Roman"/>
          <w:sz w:val="24"/>
          <w:szCs w:val="24"/>
        </w:rPr>
        <w:t xml:space="preserve">due </w:t>
      </w:r>
      <w:r w:rsidR="001A0403" w:rsidRPr="006C6879">
        <w:rPr>
          <w:rFonts w:ascii="Century Schoolbook" w:hAnsi="Century Schoolbook" w:cs="Times New Roman"/>
          <w:sz w:val="24"/>
          <w:szCs w:val="24"/>
        </w:rPr>
        <w:t>selection and recommendation of suitable candidates for the</w:t>
      </w:r>
      <w:r w:rsidR="00A80519"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Pietermaritzburg and Durban </w:t>
      </w:r>
      <w:r w:rsidR="00A80519" w:rsidRPr="006C6879">
        <w:rPr>
          <w:rFonts w:ascii="Century Schoolbook" w:hAnsi="Century Schoolbook" w:cs="Times New Roman"/>
          <w:sz w:val="24"/>
          <w:szCs w:val="24"/>
        </w:rPr>
        <w:t xml:space="preserve">posts </w:t>
      </w:r>
      <w:r w:rsidR="001A0403" w:rsidRPr="006C6879">
        <w:rPr>
          <w:rFonts w:ascii="Century Schoolbook" w:hAnsi="Century Schoolbook" w:cs="Times New Roman"/>
          <w:sz w:val="24"/>
          <w:szCs w:val="24"/>
        </w:rPr>
        <w:t>in November 2009,</w:t>
      </w:r>
      <w:r w:rsidRPr="006C6879">
        <w:rPr>
          <w:rFonts w:ascii="Century Schoolbook" w:hAnsi="Century Schoolbook" w:cs="Times New Roman"/>
          <w:sz w:val="24"/>
          <w:szCs w:val="24"/>
        </w:rPr>
        <w:t xml:space="preserve"> and the </w:t>
      </w:r>
      <w:r w:rsidR="005A6AF9">
        <w:rPr>
          <w:rFonts w:ascii="Century Schoolbook" w:hAnsi="Century Schoolbook" w:cs="Times New Roman"/>
          <w:sz w:val="24"/>
          <w:szCs w:val="24"/>
        </w:rPr>
        <w:t>irregular</w:t>
      </w:r>
      <w:r w:rsidR="001A0403" w:rsidRPr="006C687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selection and recommendation of a suitable candidate for </w:t>
      </w:r>
      <w:r w:rsidR="00C8265F">
        <w:rPr>
          <w:rFonts w:ascii="Century Schoolbook" w:hAnsi="Century Schoolbook" w:cs="Times New Roman"/>
          <w:sz w:val="24"/>
          <w:szCs w:val="24"/>
        </w:rPr>
        <w:t>internal lateral transfer</w:t>
      </w:r>
      <w:r w:rsidR="004C0B2E" w:rsidRPr="004C0B2E">
        <w:rPr>
          <w:rStyle w:val="FootnoteReference"/>
          <w:rFonts w:ascii="Century Schoolbook" w:hAnsi="Century Schoolbook" w:cs="Arial"/>
          <w:color w:val="000000" w:themeColor="text1"/>
          <w:sz w:val="24"/>
          <w:szCs w:val="24"/>
        </w:rPr>
        <w:footnoteReference w:id="127"/>
      </w:r>
      <w:r w:rsidR="00C8265F">
        <w:rPr>
          <w:rFonts w:ascii="Century Schoolbook" w:hAnsi="Century Schoolbook" w:cs="Times New Roman"/>
          <w:sz w:val="24"/>
          <w:szCs w:val="24"/>
        </w:rPr>
        <w:t xml:space="preserve"> </w:t>
      </w:r>
      <w:r w:rsidR="004C0B2E">
        <w:rPr>
          <w:rFonts w:ascii="Century Schoolbook" w:hAnsi="Century Schoolbook" w:cs="Times New Roman"/>
          <w:sz w:val="24"/>
          <w:szCs w:val="24"/>
        </w:rPr>
        <w:t>and appointment</w:t>
      </w:r>
      <w:r w:rsidR="004C0B2E">
        <w:rPr>
          <w:rStyle w:val="FootnoteReference"/>
          <w:rFonts w:ascii="Century Schoolbook" w:hAnsi="Century Schoolbook" w:cs="Times New Roman"/>
          <w:sz w:val="24"/>
          <w:szCs w:val="24"/>
        </w:rPr>
        <w:footnoteReference w:id="128"/>
      </w:r>
      <w:r w:rsidR="004C0B2E">
        <w:rPr>
          <w:rFonts w:ascii="Century Schoolbook" w:hAnsi="Century Schoolbook" w:cs="Times New Roman"/>
          <w:sz w:val="24"/>
          <w:szCs w:val="24"/>
        </w:rPr>
        <w:t xml:space="preserve"> </w:t>
      </w:r>
      <w:r w:rsidR="00C8265F">
        <w:rPr>
          <w:rFonts w:ascii="Century Schoolbook" w:hAnsi="Century Schoolbook" w:cs="Times New Roman"/>
          <w:sz w:val="24"/>
          <w:szCs w:val="24"/>
        </w:rPr>
        <w:t xml:space="preserve">to </w:t>
      </w:r>
      <w:r w:rsidRPr="006C6879">
        <w:rPr>
          <w:rFonts w:ascii="Century Schoolbook" w:hAnsi="Century Schoolbook" w:cs="Times New Roman"/>
          <w:sz w:val="24"/>
          <w:szCs w:val="24"/>
        </w:rPr>
        <w:t>the Mthatha post</w:t>
      </w:r>
      <w:r w:rsidR="00BA4A98" w:rsidRPr="006C6879">
        <w:rPr>
          <w:rFonts w:ascii="Century Schoolbook" w:hAnsi="Century Schoolbook" w:cs="Times New Roman"/>
          <w:sz w:val="24"/>
          <w:szCs w:val="24"/>
        </w:rPr>
        <w:t xml:space="preserve"> </w:t>
      </w:r>
      <w:r w:rsidR="004C0B2E">
        <w:rPr>
          <w:rFonts w:ascii="Century Schoolbook" w:hAnsi="Century Schoolbook" w:cs="Times New Roman"/>
          <w:sz w:val="24"/>
          <w:szCs w:val="24"/>
        </w:rPr>
        <w:t>o</w:t>
      </w:r>
      <w:r w:rsidR="00BA4A98" w:rsidRPr="006C6879">
        <w:rPr>
          <w:rFonts w:ascii="Century Schoolbook" w:hAnsi="Century Schoolbook" w:cs="Times New Roman"/>
          <w:sz w:val="24"/>
          <w:szCs w:val="24"/>
        </w:rPr>
        <w:t xml:space="preserve">n </w:t>
      </w:r>
      <w:r w:rsidR="004C0B2E">
        <w:rPr>
          <w:rFonts w:ascii="Century Schoolbook" w:hAnsi="Century Schoolbook" w:cs="Times New Roman"/>
          <w:sz w:val="24"/>
          <w:szCs w:val="24"/>
        </w:rPr>
        <w:t xml:space="preserve">24 </w:t>
      </w:r>
      <w:r w:rsidR="00BA4A98" w:rsidRPr="006C6879">
        <w:rPr>
          <w:rFonts w:ascii="Century Schoolbook" w:hAnsi="Century Schoolbook" w:cs="Times New Roman"/>
          <w:sz w:val="24"/>
          <w:szCs w:val="24"/>
        </w:rPr>
        <w:t>Ma</w:t>
      </w:r>
      <w:r w:rsidR="004C0B2E">
        <w:rPr>
          <w:rFonts w:ascii="Century Schoolbook" w:hAnsi="Century Schoolbook" w:cs="Times New Roman"/>
          <w:sz w:val="24"/>
          <w:szCs w:val="24"/>
        </w:rPr>
        <w:t>y</w:t>
      </w:r>
      <w:r w:rsidR="00BA4A98" w:rsidRPr="006C6879">
        <w:rPr>
          <w:rFonts w:ascii="Century Schoolbook" w:hAnsi="Century Schoolbook" w:cs="Times New Roman"/>
          <w:sz w:val="24"/>
          <w:szCs w:val="24"/>
        </w:rPr>
        <w:t xml:space="preserve"> 2010</w:t>
      </w:r>
      <w:r w:rsidRPr="006C6879">
        <w:rPr>
          <w:rFonts w:ascii="Century Schoolbook" w:hAnsi="Century Schoolbook" w:cs="Times New Roman"/>
          <w:sz w:val="24"/>
          <w:szCs w:val="24"/>
        </w:rPr>
        <w:t>.</w:t>
      </w:r>
      <w:r w:rsidR="004C0B2E" w:rsidRPr="004C0B2E">
        <w:rPr>
          <w:rStyle w:val="FootnoteReference"/>
          <w:rFonts w:ascii="Century Schoolbook" w:hAnsi="Century Schoolbook" w:cs="Arial"/>
          <w:color w:val="000000" w:themeColor="text1"/>
          <w:sz w:val="24"/>
          <w:szCs w:val="24"/>
        </w:rPr>
        <w:footnoteReference w:id="129"/>
      </w:r>
    </w:p>
    <w:p w:rsidR="009B443C" w:rsidRPr="006C6879" w:rsidRDefault="00691EDD" w:rsidP="00E77B9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color w:val="222222"/>
          <w:sz w:val="24"/>
          <w:szCs w:val="24"/>
          <w:shd w:val="clear" w:color="auto" w:fill="FFFFFF"/>
        </w:rPr>
      </w:pPr>
      <w:r w:rsidRPr="006C6879">
        <w:rPr>
          <w:rFonts w:ascii="Century Schoolbook" w:hAnsi="Century Schoolbook" w:cs="Times New Roman"/>
          <w:color w:val="222222"/>
          <w:sz w:val="24"/>
          <w:szCs w:val="24"/>
          <w:shd w:val="clear" w:color="auto" w:fill="FFFFFF"/>
        </w:rPr>
        <w:t xml:space="preserve">LASA isn’t a government department in the ‘public service’ </w:t>
      </w:r>
      <w:r w:rsidR="003A6534">
        <w:rPr>
          <w:rFonts w:ascii="Century Schoolbook" w:hAnsi="Century Schoolbook" w:cs="Times New Roman"/>
          <w:color w:val="222222"/>
          <w:sz w:val="24"/>
          <w:szCs w:val="24"/>
          <w:shd w:val="clear" w:color="auto" w:fill="FFFFFF"/>
        </w:rPr>
        <w:t>according to the defin</w:t>
      </w:r>
      <w:r w:rsidR="002F79CB">
        <w:rPr>
          <w:rFonts w:ascii="Century Schoolbook" w:hAnsi="Century Schoolbook" w:cs="Times New Roman"/>
          <w:color w:val="222222"/>
          <w:sz w:val="24"/>
          <w:szCs w:val="24"/>
          <w:shd w:val="clear" w:color="auto" w:fill="FFFFFF"/>
        </w:rPr>
        <w:t>i</w:t>
      </w:r>
      <w:r w:rsidR="003A6534">
        <w:rPr>
          <w:rFonts w:ascii="Century Schoolbook" w:hAnsi="Century Schoolbook" w:cs="Times New Roman"/>
          <w:color w:val="222222"/>
          <w:sz w:val="24"/>
          <w:szCs w:val="24"/>
          <w:shd w:val="clear" w:color="auto" w:fill="FFFFFF"/>
        </w:rPr>
        <w:t xml:space="preserve">tion in </w:t>
      </w:r>
      <w:r w:rsidRPr="006C6879">
        <w:rPr>
          <w:rFonts w:ascii="Century Schoolbook" w:hAnsi="Century Schoolbook" w:cs="Times New Roman"/>
          <w:color w:val="222222"/>
          <w:sz w:val="24"/>
          <w:szCs w:val="24"/>
          <w:shd w:val="clear" w:color="auto" w:fill="FFFFFF"/>
        </w:rPr>
        <w:t>sections 1 and 8 of the Public Service Ac</w:t>
      </w:r>
      <w:r w:rsidR="00457FB1">
        <w:rPr>
          <w:rFonts w:ascii="Century Schoolbook" w:hAnsi="Century Schoolbook" w:cs="Times New Roman"/>
          <w:color w:val="222222"/>
          <w:sz w:val="24"/>
          <w:szCs w:val="24"/>
          <w:shd w:val="clear" w:color="auto" w:fill="FFFFFF"/>
        </w:rPr>
        <w:t>t 103 of</w:t>
      </w:r>
      <w:r w:rsidR="000B2EC9" w:rsidRPr="006C6879">
        <w:rPr>
          <w:rFonts w:ascii="Century Schoolbook" w:hAnsi="Century Schoolbook" w:cs="Times New Roman"/>
          <w:color w:val="222222"/>
          <w:sz w:val="24"/>
          <w:szCs w:val="24"/>
          <w:shd w:val="clear" w:color="auto" w:fill="FFFFFF"/>
        </w:rPr>
        <w:t xml:space="preserve"> </w:t>
      </w:r>
      <w:r w:rsidRPr="006C6879">
        <w:rPr>
          <w:rFonts w:ascii="Century Schoolbook" w:hAnsi="Century Schoolbook" w:cs="Times New Roman"/>
          <w:color w:val="222222"/>
          <w:sz w:val="24"/>
          <w:szCs w:val="24"/>
          <w:shd w:val="clear" w:color="auto" w:fill="FFFFFF"/>
        </w:rPr>
        <w:t xml:space="preserve">1994, </w:t>
      </w:r>
      <w:r w:rsidR="00F92F20">
        <w:rPr>
          <w:rFonts w:ascii="Century Schoolbook" w:hAnsi="Century Schoolbook" w:cs="Times New Roman"/>
          <w:color w:val="222222"/>
          <w:sz w:val="24"/>
          <w:szCs w:val="24"/>
          <w:shd w:val="clear" w:color="auto" w:fill="FFFFFF"/>
        </w:rPr>
        <w:t xml:space="preserve">so </w:t>
      </w:r>
      <w:r w:rsidR="00CF7FC1" w:rsidRPr="006C6879">
        <w:rPr>
          <w:rFonts w:ascii="Century Schoolbook" w:hAnsi="Century Schoolbook" w:cs="Times New Roman"/>
          <w:color w:val="222222"/>
          <w:sz w:val="24"/>
          <w:szCs w:val="24"/>
          <w:shd w:val="clear" w:color="auto" w:fill="FFFFFF"/>
        </w:rPr>
        <w:t xml:space="preserve">neither </w:t>
      </w:r>
      <w:r w:rsidRPr="006C6879">
        <w:rPr>
          <w:rFonts w:ascii="Century Schoolbook" w:hAnsi="Century Schoolbook" w:cs="Times New Roman"/>
          <w:color w:val="222222"/>
          <w:sz w:val="24"/>
          <w:szCs w:val="24"/>
          <w:shd w:val="clear" w:color="auto" w:fill="FFFFFF"/>
        </w:rPr>
        <w:t>th</w:t>
      </w:r>
      <w:r w:rsidR="006C16E5" w:rsidRPr="006C6879">
        <w:rPr>
          <w:rFonts w:ascii="Century Schoolbook" w:hAnsi="Century Schoolbook" w:cs="Times New Roman"/>
          <w:color w:val="222222"/>
          <w:sz w:val="24"/>
          <w:szCs w:val="24"/>
          <w:shd w:val="clear" w:color="auto" w:fill="FFFFFF"/>
        </w:rPr>
        <w:t xml:space="preserve">e Public Service Regulations </w:t>
      </w:r>
      <w:r w:rsidR="00CF7FC1" w:rsidRPr="006C6879">
        <w:rPr>
          <w:rFonts w:ascii="Century Schoolbook" w:hAnsi="Century Schoolbook" w:cs="Times New Roman"/>
          <w:color w:val="222222"/>
          <w:sz w:val="24"/>
          <w:szCs w:val="24"/>
          <w:shd w:val="clear" w:color="auto" w:fill="FFFFFF"/>
        </w:rPr>
        <w:t xml:space="preserve">nor the </w:t>
      </w:r>
      <w:r w:rsidR="003361C5" w:rsidRPr="006C6879">
        <w:rPr>
          <w:rFonts w:ascii="Century Schoolbook" w:hAnsi="Century Schoolbook"/>
          <w:color w:val="000000" w:themeColor="text1"/>
          <w:sz w:val="24"/>
          <w:szCs w:val="24"/>
        </w:rPr>
        <w:t>SMS Handbook’</w:t>
      </w:r>
      <w:r w:rsidR="002065E5">
        <w:rPr>
          <w:rFonts w:ascii="Century Schoolbook" w:hAnsi="Century Schoolbook"/>
          <w:color w:val="000000" w:themeColor="text1"/>
          <w:sz w:val="24"/>
          <w:szCs w:val="24"/>
        </w:rPr>
        <w:t>s</w:t>
      </w:r>
      <w:r w:rsidR="004E6A77">
        <w:rPr>
          <w:rFonts w:ascii="Century Schoolbook" w:hAnsi="Century Schoolbook"/>
          <w:color w:val="000000" w:themeColor="text1"/>
          <w:sz w:val="24"/>
          <w:szCs w:val="24"/>
        </w:rPr>
        <w:t xml:space="preserve"> </w:t>
      </w:r>
      <w:r w:rsidR="003361C5" w:rsidRPr="006C6879">
        <w:rPr>
          <w:rFonts w:ascii="Century Schoolbook" w:hAnsi="Century Schoolbook"/>
          <w:color w:val="000000" w:themeColor="text1"/>
          <w:sz w:val="24"/>
          <w:szCs w:val="24"/>
        </w:rPr>
        <w:t>‘</w:t>
      </w:r>
      <w:r w:rsidR="00CF7FC1" w:rsidRPr="006C6879">
        <w:rPr>
          <w:rFonts w:ascii="Century Schoolbook" w:hAnsi="Century Schoolbook"/>
          <w:color w:val="000000" w:themeColor="text1"/>
          <w:sz w:val="24"/>
          <w:szCs w:val="24"/>
        </w:rPr>
        <w:t>Recruitment</w:t>
      </w:r>
      <w:r w:rsidR="003361C5" w:rsidRPr="006C6879">
        <w:rPr>
          <w:rFonts w:ascii="Century Schoolbook" w:hAnsi="Century Schoolbook"/>
          <w:color w:val="000000" w:themeColor="text1"/>
          <w:sz w:val="24"/>
          <w:szCs w:val="24"/>
        </w:rPr>
        <w:t>’</w:t>
      </w:r>
      <w:r w:rsidR="004E6A77" w:rsidRPr="006C6879">
        <w:rPr>
          <w:rStyle w:val="FootnoteReference"/>
          <w:rFonts w:ascii="Century Schoolbook" w:hAnsi="Century Schoolbook"/>
          <w:color w:val="000000" w:themeColor="text1"/>
          <w:sz w:val="24"/>
          <w:szCs w:val="24"/>
        </w:rPr>
        <w:footnoteReference w:id="130"/>
      </w:r>
      <w:r w:rsidR="004E6A77" w:rsidRPr="006C6879">
        <w:rPr>
          <w:rFonts w:ascii="Century Schoolbook" w:hAnsi="Century Schoolbook"/>
          <w:color w:val="000000" w:themeColor="text1"/>
          <w:sz w:val="24"/>
          <w:szCs w:val="24"/>
        </w:rPr>
        <w:t xml:space="preserve"> </w:t>
      </w:r>
      <w:r w:rsidR="002065E5">
        <w:rPr>
          <w:rFonts w:ascii="Century Schoolbook" w:hAnsi="Century Schoolbook"/>
          <w:color w:val="000000" w:themeColor="text1"/>
          <w:sz w:val="24"/>
          <w:szCs w:val="24"/>
        </w:rPr>
        <w:t xml:space="preserve">chapter </w:t>
      </w:r>
      <w:r w:rsidR="003361C5" w:rsidRPr="006C6879">
        <w:rPr>
          <w:rFonts w:ascii="Century Schoolbook" w:hAnsi="Century Schoolbook" w:cs="Times New Roman"/>
          <w:color w:val="222222"/>
          <w:sz w:val="24"/>
          <w:szCs w:val="24"/>
          <w:shd w:val="clear" w:color="auto" w:fill="FFFFFF"/>
        </w:rPr>
        <w:t>appl</w:t>
      </w:r>
      <w:r w:rsidR="00EC5A62">
        <w:rPr>
          <w:rFonts w:ascii="Century Schoolbook" w:hAnsi="Century Schoolbook" w:cs="Times New Roman"/>
          <w:color w:val="222222"/>
          <w:sz w:val="24"/>
          <w:szCs w:val="24"/>
          <w:shd w:val="clear" w:color="auto" w:fill="FFFFFF"/>
        </w:rPr>
        <w:t>ies</w:t>
      </w:r>
      <w:r w:rsidR="003361C5" w:rsidRPr="006C6879">
        <w:rPr>
          <w:rFonts w:ascii="Century Schoolbook" w:hAnsi="Century Schoolbook" w:cs="Times New Roman"/>
          <w:color w:val="222222"/>
          <w:sz w:val="24"/>
          <w:szCs w:val="24"/>
          <w:shd w:val="clear" w:color="auto" w:fill="FFFFFF"/>
        </w:rPr>
        <w:t xml:space="preserve"> directly to </w:t>
      </w:r>
      <w:r w:rsidR="002F79CB">
        <w:rPr>
          <w:rFonts w:ascii="Century Schoolbook" w:hAnsi="Century Schoolbook" w:cs="Times New Roman"/>
          <w:color w:val="222222"/>
          <w:sz w:val="24"/>
          <w:szCs w:val="24"/>
          <w:shd w:val="clear" w:color="auto" w:fill="FFFFFF"/>
        </w:rPr>
        <w:t xml:space="preserve">LASA </w:t>
      </w:r>
      <w:r w:rsidR="003361C5" w:rsidRPr="006C6879">
        <w:rPr>
          <w:rFonts w:ascii="Century Schoolbook" w:hAnsi="Century Schoolbook" w:cs="Times New Roman"/>
          <w:color w:val="222222"/>
          <w:sz w:val="24"/>
          <w:szCs w:val="24"/>
          <w:shd w:val="clear" w:color="auto" w:fill="FFFFFF"/>
        </w:rPr>
        <w:t>as a public entity</w:t>
      </w:r>
      <w:r w:rsidR="00B13CB9">
        <w:rPr>
          <w:rFonts w:ascii="Century Schoolbook" w:hAnsi="Century Schoolbook" w:cs="Times New Roman"/>
          <w:color w:val="222222"/>
          <w:sz w:val="24"/>
          <w:szCs w:val="24"/>
          <w:shd w:val="clear" w:color="auto" w:fill="FFFFFF"/>
        </w:rPr>
        <w:t xml:space="preserve"> listed in Schedule 3 of the PFMA</w:t>
      </w:r>
      <w:r w:rsidR="00F92F20">
        <w:rPr>
          <w:rFonts w:ascii="Century Schoolbook" w:hAnsi="Century Schoolbook" w:cs="Times New Roman"/>
          <w:color w:val="222222"/>
          <w:sz w:val="24"/>
          <w:szCs w:val="24"/>
          <w:shd w:val="clear" w:color="auto" w:fill="FFFFFF"/>
        </w:rPr>
        <w:t>,</w:t>
      </w:r>
      <w:r w:rsidR="00413970">
        <w:rPr>
          <w:rFonts w:ascii="Century Schoolbook" w:hAnsi="Century Schoolbook" w:cs="Times New Roman"/>
          <w:color w:val="222222"/>
          <w:sz w:val="24"/>
          <w:szCs w:val="24"/>
          <w:shd w:val="clear" w:color="auto" w:fill="FFFFFF"/>
        </w:rPr>
        <w:t xml:space="preserve"> but </w:t>
      </w:r>
      <w:r w:rsidR="004E6A77">
        <w:rPr>
          <w:rFonts w:ascii="Century Schoolbook" w:hAnsi="Century Schoolbook"/>
          <w:color w:val="000000" w:themeColor="text1"/>
          <w:sz w:val="24"/>
          <w:szCs w:val="24"/>
        </w:rPr>
        <w:t xml:space="preserve">as quoted </w:t>
      </w:r>
      <w:r w:rsidR="003000D4">
        <w:rPr>
          <w:rFonts w:ascii="Century Schoolbook" w:hAnsi="Century Schoolbook"/>
          <w:color w:val="000000" w:themeColor="text1"/>
          <w:sz w:val="24"/>
          <w:szCs w:val="24"/>
        </w:rPr>
        <w:t xml:space="preserve">in paragraph 62 </w:t>
      </w:r>
      <w:r w:rsidR="004E6A77">
        <w:rPr>
          <w:rFonts w:ascii="Century Schoolbook" w:hAnsi="Century Schoolbook"/>
          <w:color w:val="000000" w:themeColor="text1"/>
          <w:sz w:val="24"/>
          <w:szCs w:val="24"/>
        </w:rPr>
        <w:t xml:space="preserve">above, </w:t>
      </w:r>
      <w:r w:rsidR="00CF7FC1" w:rsidRPr="006C6879">
        <w:rPr>
          <w:rFonts w:ascii="Century Schoolbook" w:hAnsi="Century Schoolbook"/>
          <w:color w:val="000000" w:themeColor="text1"/>
          <w:sz w:val="24"/>
          <w:szCs w:val="24"/>
        </w:rPr>
        <w:t xml:space="preserve">LASA’s </w:t>
      </w:r>
      <w:r w:rsidR="002C334F" w:rsidRPr="006C6879">
        <w:rPr>
          <w:rFonts w:ascii="Century Schoolbook" w:hAnsi="Century Schoolbook" w:cs="Calibri"/>
          <w:color w:val="000000" w:themeColor="text1"/>
          <w:sz w:val="24"/>
          <w:szCs w:val="24"/>
        </w:rPr>
        <w:t>Recruitment code</w:t>
      </w:r>
      <w:r w:rsidR="005A6AF9">
        <w:rPr>
          <w:rFonts w:ascii="Century Schoolbook" w:hAnsi="Century Schoolbook" w:cs="Calibri"/>
          <w:color w:val="000000" w:themeColor="text1"/>
          <w:sz w:val="24"/>
          <w:szCs w:val="24"/>
        </w:rPr>
        <w:t xml:space="preserve"> </w:t>
      </w:r>
      <w:r w:rsidR="006C16E5" w:rsidRPr="006C6879">
        <w:rPr>
          <w:rFonts w:ascii="Century Schoolbook" w:hAnsi="Century Schoolbook" w:cs="Times New Roman"/>
          <w:color w:val="222222"/>
          <w:sz w:val="24"/>
          <w:szCs w:val="24"/>
          <w:shd w:val="clear" w:color="auto" w:fill="FFFFFF"/>
        </w:rPr>
        <w:t xml:space="preserve">states </w:t>
      </w:r>
      <w:r w:rsidR="00A80519" w:rsidRPr="006C6879">
        <w:rPr>
          <w:rFonts w:ascii="Century Schoolbook" w:hAnsi="Century Schoolbook" w:cs="Times New Roman"/>
          <w:color w:val="222222"/>
          <w:sz w:val="24"/>
          <w:szCs w:val="24"/>
          <w:shd w:val="clear" w:color="auto" w:fill="FFFFFF"/>
        </w:rPr>
        <w:t xml:space="preserve">that </w:t>
      </w:r>
      <w:r w:rsidR="00AC5AD4" w:rsidRPr="006C6879">
        <w:rPr>
          <w:rFonts w:ascii="Century Schoolbook" w:hAnsi="Century Schoolbook" w:cs="Times New Roman"/>
          <w:color w:val="222222"/>
          <w:sz w:val="24"/>
          <w:szCs w:val="24"/>
          <w:shd w:val="clear" w:color="auto" w:fill="FFFFFF"/>
        </w:rPr>
        <w:t>LASA</w:t>
      </w:r>
      <w:r w:rsidR="00AC5AD4">
        <w:rPr>
          <w:rFonts w:ascii="Century Schoolbook" w:hAnsi="Century Schoolbook" w:cs="Times New Roman"/>
          <w:color w:val="222222"/>
          <w:sz w:val="24"/>
          <w:szCs w:val="24"/>
          <w:shd w:val="clear" w:color="auto" w:fill="FFFFFF"/>
        </w:rPr>
        <w:t>’s</w:t>
      </w:r>
      <w:r w:rsidR="00AC5AD4" w:rsidRPr="006C6879">
        <w:rPr>
          <w:rFonts w:ascii="Century Schoolbook" w:hAnsi="Century Schoolbook" w:cs="Times New Roman"/>
          <w:color w:val="222222"/>
          <w:sz w:val="24"/>
          <w:szCs w:val="24"/>
          <w:shd w:val="clear" w:color="auto" w:fill="FFFFFF"/>
        </w:rPr>
        <w:t xml:space="preserve"> </w:t>
      </w:r>
      <w:r w:rsidR="00A80519" w:rsidRPr="006C6879">
        <w:rPr>
          <w:rFonts w:ascii="Century Schoolbook" w:hAnsi="Century Schoolbook" w:cs="Times New Roman"/>
          <w:color w:val="222222"/>
          <w:sz w:val="24"/>
          <w:szCs w:val="24"/>
          <w:shd w:val="clear" w:color="auto" w:fill="FFFFFF"/>
        </w:rPr>
        <w:t xml:space="preserve">recruitment operations </w:t>
      </w:r>
      <w:r w:rsidR="00457FB1">
        <w:rPr>
          <w:rFonts w:ascii="Century Schoolbook" w:hAnsi="Century Schoolbook" w:cs="Times New Roman"/>
          <w:color w:val="222222"/>
          <w:sz w:val="24"/>
          <w:szCs w:val="24"/>
          <w:shd w:val="clear" w:color="auto" w:fill="FFFFFF"/>
        </w:rPr>
        <w:t xml:space="preserve">must be conducted in </w:t>
      </w:r>
      <w:r w:rsidR="00CF7FC1" w:rsidRPr="006C6879">
        <w:rPr>
          <w:rFonts w:ascii="Century Schoolbook" w:hAnsi="Century Schoolbook" w:cs="Times New Roman"/>
          <w:color w:val="222222"/>
          <w:sz w:val="24"/>
          <w:szCs w:val="24"/>
          <w:shd w:val="clear" w:color="auto" w:fill="FFFFFF"/>
        </w:rPr>
        <w:t>accord</w:t>
      </w:r>
      <w:r w:rsidR="00457FB1">
        <w:rPr>
          <w:rFonts w:ascii="Century Schoolbook" w:hAnsi="Century Schoolbook" w:cs="Times New Roman"/>
          <w:color w:val="222222"/>
          <w:sz w:val="24"/>
          <w:szCs w:val="24"/>
          <w:shd w:val="clear" w:color="auto" w:fill="FFFFFF"/>
        </w:rPr>
        <w:t xml:space="preserve">ance </w:t>
      </w:r>
      <w:r w:rsidR="00CF7FC1" w:rsidRPr="006C6879">
        <w:rPr>
          <w:rFonts w:ascii="Century Schoolbook" w:hAnsi="Century Schoolbook" w:cs="Times New Roman"/>
          <w:color w:val="222222"/>
          <w:sz w:val="24"/>
          <w:szCs w:val="24"/>
          <w:shd w:val="clear" w:color="auto" w:fill="FFFFFF"/>
        </w:rPr>
        <w:t xml:space="preserve">with </w:t>
      </w:r>
      <w:r w:rsidR="006C16E5" w:rsidRPr="006C6879">
        <w:rPr>
          <w:rFonts w:ascii="Century Schoolbook" w:hAnsi="Century Schoolbook" w:cs="Times New Roman"/>
          <w:color w:val="222222"/>
          <w:sz w:val="24"/>
          <w:szCs w:val="24"/>
          <w:shd w:val="clear" w:color="auto" w:fill="FFFFFF"/>
        </w:rPr>
        <w:t>such regulations</w:t>
      </w:r>
      <w:r w:rsidR="004E6A77">
        <w:rPr>
          <w:rFonts w:ascii="Century Schoolbook" w:hAnsi="Century Schoolbook" w:cs="Times New Roman"/>
          <w:color w:val="222222"/>
          <w:sz w:val="24"/>
          <w:szCs w:val="24"/>
          <w:shd w:val="clear" w:color="auto" w:fill="FFFFFF"/>
        </w:rPr>
        <w:t>.</w:t>
      </w:r>
    </w:p>
    <w:p w:rsidR="002F1C10" w:rsidRPr="004A1FFC" w:rsidRDefault="00457FB1" w:rsidP="00E77B92">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color w:val="222222"/>
          <w:sz w:val="24"/>
          <w:szCs w:val="24"/>
          <w:shd w:val="clear" w:color="auto" w:fill="FFFFFF"/>
        </w:rPr>
        <w:t>Official</w:t>
      </w:r>
      <w:r w:rsidR="006C16E5" w:rsidRPr="004A1FFC">
        <w:rPr>
          <w:rFonts w:ascii="Century Schoolbook" w:hAnsi="Century Schoolbook" w:cs="Times New Roman"/>
          <w:color w:val="222222"/>
          <w:sz w:val="24"/>
          <w:szCs w:val="24"/>
          <w:shd w:val="clear" w:color="auto" w:fill="FFFFFF"/>
        </w:rPr>
        <w:t xml:space="preserve"> </w:t>
      </w:r>
      <w:r w:rsidR="003F7BAD" w:rsidRPr="004A1FFC">
        <w:rPr>
          <w:rFonts w:ascii="Century Schoolbook" w:hAnsi="Century Schoolbook" w:cs="Times New Roman"/>
          <w:color w:val="222222"/>
          <w:sz w:val="24"/>
          <w:szCs w:val="24"/>
          <w:shd w:val="clear" w:color="auto" w:fill="FFFFFF"/>
        </w:rPr>
        <w:t xml:space="preserve">‘business </w:t>
      </w:r>
      <w:r w:rsidR="00A961F8" w:rsidRPr="004A1FFC">
        <w:rPr>
          <w:rFonts w:ascii="Century Schoolbook" w:hAnsi="Century Schoolbook" w:cs="Times New Roman"/>
          <w:color w:val="222222"/>
          <w:sz w:val="24"/>
          <w:szCs w:val="24"/>
          <w:shd w:val="clear" w:color="auto" w:fill="FFFFFF"/>
        </w:rPr>
        <w:t>practice</w:t>
      </w:r>
      <w:r>
        <w:rPr>
          <w:rFonts w:ascii="Century Schoolbook" w:hAnsi="Century Schoolbook" w:cs="Times New Roman"/>
          <w:color w:val="222222"/>
          <w:sz w:val="24"/>
          <w:szCs w:val="24"/>
          <w:shd w:val="clear" w:color="auto" w:fill="FFFFFF"/>
        </w:rPr>
        <w:t>s</w:t>
      </w:r>
      <w:r w:rsidR="003F7BAD" w:rsidRPr="004A1FFC">
        <w:rPr>
          <w:rFonts w:ascii="Century Schoolbook" w:hAnsi="Century Schoolbook" w:cs="Times New Roman"/>
          <w:color w:val="222222"/>
          <w:sz w:val="24"/>
          <w:szCs w:val="24"/>
          <w:shd w:val="clear" w:color="auto" w:fill="FFFFFF"/>
        </w:rPr>
        <w:t>’</w:t>
      </w:r>
      <w:r w:rsidR="00175E11">
        <w:rPr>
          <w:rStyle w:val="FootnoteReference"/>
          <w:rFonts w:ascii="Century Schoolbook" w:hAnsi="Century Schoolbook" w:cs="Times New Roman"/>
          <w:color w:val="222222"/>
          <w:sz w:val="24"/>
          <w:szCs w:val="24"/>
          <w:shd w:val="clear" w:color="auto" w:fill="FFFFFF"/>
        </w:rPr>
        <w:footnoteReference w:id="131"/>
      </w:r>
      <w:r w:rsidR="006C16E5" w:rsidRPr="004A1FFC">
        <w:rPr>
          <w:rFonts w:ascii="Century Schoolbook" w:hAnsi="Century Schoolbook" w:cs="Times New Roman"/>
          <w:color w:val="222222"/>
          <w:sz w:val="24"/>
          <w:szCs w:val="24"/>
          <w:shd w:val="clear" w:color="auto" w:fill="FFFFFF"/>
        </w:rPr>
        <w:t xml:space="preserve"> for public sector recruitment </w:t>
      </w:r>
      <w:r w:rsidR="002C334F" w:rsidRPr="004A1FFC">
        <w:rPr>
          <w:rFonts w:ascii="Century Schoolbook" w:hAnsi="Century Schoolbook" w:cs="Times New Roman"/>
          <w:color w:val="222222"/>
          <w:sz w:val="24"/>
          <w:szCs w:val="24"/>
          <w:shd w:val="clear" w:color="auto" w:fill="FFFFFF"/>
        </w:rPr>
        <w:t xml:space="preserve">prescribed by </w:t>
      </w:r>
      <w:r w:rsidR="006B79B6" w:rsidRPr="004A1FFC">
        <w:rPr>
          <w:rFonts w:ascii="Century Schoolbook" w:hAnsi="Century Schoolbook" w:cs="Times New Roman"/>
          <w:color w:val="222222"/>
          <w:sz w:val="24"/>
          <w:szCs w:val="24"/>
          <w:shd w:val="clear" w:color="auto" w:fill="FFFFFF"/>
        </w:rPr>
        <w:t>the Public Service Regulations</w:t>
      </w:r>
      <w:r w:rsidR="006C16E5" w:rsidRPr="004A1FFC">
        <w:rPr>
          <w:rFonts w:ascii="Century Schoolbook" w:hAnsi="Century Schoolbook" w:cs="Times New Roman"/>
          <w:color w:val="222222"/>
          <w:sz w:val="24"/>
          <w:szCs w:val="24"/>
          <w:shd w:val="clear" w:color="auto" w:fill="FFFFFF"/>
        </w:rPr>
        <w:t>, both in Part IV, section C.1A.2</w:t>
      </w:r>
      <w:r w:rsidR="006B79B6" w:rsidRPr="004A1FFC">
        <w:rPr>
          <w:rFonts w:ascii="Century Schoolbook" w:hAnsi="Century Schoolbook" w:cs="Times New Roman"/>
          <w:color w:val="222222"/>
          <w:sz w:val="24"/>
          <w:szCs w:val="24"/>
          <w:shd w:val="clear" w:color="auto" w:fill="FFFFFF"/>
        </w:rPr>
        <w:t>,</w:t>
      </w:r>
      <w:r w:rsidR="006C16E5" w:rsidRPr="004A1FFC">
        <w:rPr>
          <w:rFonts w:ascii="Century Schoolbook" w:hAnsi="Century Schoolbook" w:cs="Times New Roman"/>
          <w:color w:val="222222"/>
          <w:sz w:val="24"/>
          <w:szCs w:val="24"/>
          <w:shd w:val="clear" w:color="auto" w:fill="FFFFFF"/>
        </w:rPr>
        <w:t xml:space="preserve"> of the </w:t>
      </w:r>
      <w:r w:rsidR="0025189C" w:rsidRPr="004A1FFC">
        <w:rPr>
          <w:rFonts w:ascii="Century Schoolbook" w:hAnsi="Century Schoolbook" w:cs="Times New Roman"/>
          <w:color w:val="222222"/>
          <w:sz w:val="24"/>
          <w:szCs w:val="24"/>
          <w:shd w:val="clear" w:color="auto" w:fill="FFFFFF"/>
        </w:rPr>
        <w:t>former</w:t>
      </w:r>
      <w:r w:rsidR="006C16E5" w:rsidRPr="004A1FFC">
        <w:rPr>
          <w:rFonts w:ascii="Century Schoolbook" w:hAnsi="Century Schoolbook" w:cs="Times New Roman"/>
          <w:color w:val="222222"/>
          <w:sz w:val="24"/>
          <w:szCs w:val="24"/>
          <w:shd w:val="clear" w:color="auto" w:fill="FFFFFF"/>
        </w:rPr>
        <w:t xml:space="preserve"> Regulations applicable in 2009</w:t>
      </w:r>
      <w:r w:rsidR="00F92F20">
        <w:rPr>
          <w:rFonts w:ascii="Century Schoolbook" w:hAnsi="Century Schoolbook" w:cs="Times New Roman"/>
          <w:color w:val="222222"/>
          <w:sz w:val="24"/>
          <w:szCs w:val="24"/>
          <w:shd w:val="clear" w:color="auto" w:fill="FFFFFF"/>
        </w:rPr>
        <w:t xml:space="preserve"> and 2010,</w:t>
      </w:r>
      <w:r w:rsidR="006C16E5" w:rsidRPr="004A1FFC">
        <w:rPr>
          <w:rFonts w:ascii="Century Schoolbook" w:hAnsi="Century Schoolbook" w:cs="Times New Roman"/>
          <w:color w:val="222222"/>
          <w:sz w:val="24"/>
          <w:szCs w:val="24"/>
          <w:shd w:val="clear" w:color="auto" w:fill="FFFFFF"/>
        </w:rPr>
        <w:t xml:space="preserve"> and in section</w:t>
      </w:r>
      <w:r w:rsidR="00E93CF4">
        <w:rPr>
          <w:rFonts w:ascii="Century Schoolbook" w:hAnsi="Century Schoolbook" w:cs="Times New Roman"/>
          <w:color w:val="222222"/>
          <w:sz w:val="24"/>
          <w:szCs w:val="24"/>
          <w:shd w:val="clear" w:color="auto" w:fill="FFFFFF"/>
        </w:rPr>
        <w:t xml:space="preserve"> </w:t>
      </w:r>
      <w:r w:rsidR="006C16E5" w:rsidRPr="004A1FFC">
        <w:rPr>
          <w:rFonts w:ascii="Century Schoolbook" w:hAnsi="Century Schoolbook" w:cs="Times New Roman"/>
          <w:color w:val="222222"/>
          <w:sz w:val="24"/>
          <w:szCs w:val="24"/>
          <w:shd w:val="clear" w:color="auto" w:fill="FFFFFF"/>
        </w:rPr>
        <w:t>65(7) of the new Regulations promulgated in 2016</w:t>
      </w:r>
      <w:r w:rsidR="002C334F" w:rsidRPr="004A1FFC">
        <w:rPr>
          <w:rFonts w:ascii="Century Schoolbook" w:hAnsi="Century Schoolbook" w:cs="Times New Roman"/>
          <w:color w:val="222222"/>
          <w:sz w:val="24"/>
          <w:szCs w:val="24"/>
          <w:shd w:val="clear" w:color="auto" w:fill="FFFFFF"/>
        </w:rPr>
        <w:t>, with which LASA’s Recruitment code is ‘in line’</w:t>
      </w:r>
      <w:r w:rsidR="003F7BAD" w:rsidRPr="004A1FFC">
        <w:rPr>
          <w:rFonts w:ascii="Century Schoolbook" w:hAnsi="Century Schoolbook" w:cs="Times New Roman"/>
          <w:color w:val="222222"/>
          <w:sz w:val="24"/>
          <w:szCs w:val="24"/>
          <w:shd w:val="clear" w:color="auto" w:fill="FFFFFF"/>
        </w:rPr>
        <w:t>,</w:t>
      </w:r>
      <w:r w:rsidR="00AC5AD4" w:rsidRPr="006C6879">
        <w:rPr>
          <w:rStyle w:val="FootnoteReference"/>
          <w:rFonts w:ascii="Century Schoolbook" w:hAnsi="Century Schoolbook" w:cs="Times New Roman"/>
          <w:color w:val="222222"/>
          <w:sz w:val="24"/>
          <w:szCs w:val="24"/>
          <w:shd w:val="clear" w:color="auto" w:fill="FFFFFF"/>
        </w:rPr>
        <w:footnoteReference w:id="132"/>
      </w:r>
      <w:r w:rsidR="00AC5AD4" w:rsidRPr="004A1FFC">
        <w:rPr>
          <w:rFonts w:ascii="Century Schoolbook" w:hAnsi="Century Schoolbook" w:cs="Times New Roman"/>
          <w:color w:val="222222"/>
          <w:sz w:val="24"/>
          <w:szCs w:val="24"/>
          <w:shd w:val="clear" w:color="auto" w:fill="FFFFFF"/>
        </w:rPr>
        <w:t xml:space="preserve"> </w:t>
      </w:r>
      <w:r>
        <w:rPr>
          <w:rFonts w:ascii="Century Schoolbook" w:hAnsi="Century Schoolbook" w:cs="Times New Roman"/>
          <w:color w:val="222222"/>
          <w:sz w:val="24"/>
          <w:szCs w:val="24"/>
          <w:shd w:val="clear" w:color="auto" w:fill="FFFFFF"/>
        </w:rPr>
        <w:t>are</w:t>
      </w:r>
      <w:r w:rsidR="006C16E5" w:rsidRPr="004A1FFC">
        <w:rPr>
          <w:rFonts w:ascii="Century Schoolbook" w:hAnsi="Century Schoolbook" w:cs="Times New Roman"/>
          <w:color w:val="222222"/>
          <w:sz w:val="24"/>
          <w:szCs w:val="24"/>
          <w:shd w:val="clear" w:color="auto" w:fill="FFFFFF"/>
        </w:rPr>
        <w:t xml:space="preserve">: ‘A funded vacant post </w:t>
      </w:r>
      <w:r w:rsidR="00FE4EF8">
        <w:rPr>
          <w:rFonts w:ascii="Century Schoolbook" w:hAnsi="Century Schoolbook" w:cs="Times New Roman"/>
          <w:color w:val="222222"/>
          <w:sz w:val="24"/>
          <w:szCs w:val="24"/>
          <w:shd w:val="clear" w:color="auto" w:fill="FFFFFF"/>
        </w:rPr>
        <w:t xml:space="preserve">... </w:t>
      </w:r>
      <w:r w:rsidR="006C16E5" w:rsidRPr="004A1FFC">
        <w:rPr>
          <w:rFonts w:ascii="Century Schoolbook" w:hAnsi="Century Schoolbook" w:cs="Times New Roman"/>
          <w:color w:val="222222"/>
          <w:sz w:val="24"/>
          <w:szCs w:val="24"/>
          <w:shd w:val="clear" w:color="auto" w:fill="FFFFFF"/>
        </w:rPr>
        <w:t>shall be advertised within six months after becoming vacant and be filled within 12 months after becoming vacant</w:t>
      </w:r>
      <w:r>
        <w:rPr>
          <w:rFonts w:ascii="Century Schoolbook" w:hAnsi="Century Schoolbook" w:cs="Times New Roman"/>
          <w:color w:val="222222"/>
          <w:sz w:val="24"/>
          <w:szCs w:val="24"/>
          <w:shd w:val="clear" w:color="auto" w:fill="FFFFFF"/>
        </w:rPr>
        <w:t>.</w:t>
      </w:r>
      <w:r w:rsidR="006B79B6" w:rsidRPr="004A1FFC">
        <w:rPr>
          <w:rFonts w:ascii="Century Schoolbook" w:hAnsi="Century Schoolbook" w:cs="Times New Roman"/>
          <w:color w:val="222222"/>
          <w:sz w:val="24"/>
          <w:szCs w:val="24"/>
          <w:shd w:val="clear" w:color="auto" w:fill="FFFFFF"/>
        </w:rPr>
        <w:t>’</w:t>
      </w:r>
      <w:r w:rsidR="00B13CB9" w:rsidRPr="002F1C10">
        <w:rPr>
          <w:rStyle w:val="FootnoteReference"/>
          <w:rFonts w:ascii="Century Schoolbook" w:hAnsi="Century Schoolbook" w:cs="Times New Roman"/>
          <w:color w:val="222222"/>
          <w:sz w:val="24"/>
          <w:szCs w:val="24"/>
          <w:shd w:val="clear" w:color="auto" w:fill="FFFFFF"/>
        </w:rPr>
        <w:footnoteReference w:id="133"/>
      </w:r>
      <w:r w:rsidR="006B79B6" w:rsidRPr="004A1FFC">
        <w:rPr>
          <w:rFonts w:ascii="Century Schoolbook" w:hAnsi="Century Schoolbook" w:cs="Times New Roman"/>
          <w:color w:val="222222"/>
          <w:sz w:val="24"/>
          <w:szCs w:val="24"/>
          <w:shd w:val="clear" w:color="auto" w:fill="FFFFFF"/>
        </w:rPr>
        <w:t xml:space="preserve"> </w:t>
      </w:r>
      <w:r w:rsidRPr="004A1FFC">
        <w:rPr>
          <w:rFonts w:ascii="Century Schoolbook" w:hAnsi="Century Schoolbook" w:cs="Arial"/>
          <w:color w:val="000000" w:themeColor="text1"/>
          <w:sz w:val="24"/>
          <w:szCs w:val="24"/>
        </w:rPr>
        <w:t xml:space="preserve">Indeed, LASA </w:t>
      </w:r>
      <w:r w:rsidR="00AA3BC3">
        <w:rPr>
          <w:rFonts w:ascii="Century Schoolbook" w:hAnsi="Century Schoolbook" w:cs="Arial"/>
          <w:color w:val="000000" w:themeColor="text1"/>
          <w:sz w:val="24"/>
          <w:szCs w:val="24"/>
        </w:rPr>
        <w:t xml:space="preserve">has </w:t>
      </w:r>
      <w:r w:rsidRPr="004A1FFC">
        <w:rPr>
          <w:rFonts w:ascii="Century Schoolbook" w:hAnsi="Century Schoolbook" w:cs="Arial"/>
          <w:color w:val="000000" w:themeColor="text1"/>
          <w:sz w:val="24"/>
          <w:szCs w:val="24"/>
        </w:rPr>
        <w:t>acknowledge</w:t>
      </w:r>
      <w:r w:rsidR="00AA3BC3">
        <w:rPr>
          <w:rFonts w:ascii="Century Schoolbook" w:hAnsi="Century Schoolbook" w:cs="Arial"/>
          <w:color w:val="000000" w:themeColor="text1"/>
          <w:sz w:val="24"/>
          <w:szCs w:val="24"/>
        </w:rPr>
        <w:t>d</w:t>
      </w:r>
      <w:r w:rsidRPr="004A1FFC">
        <w:rPr>
          <w:rFonts w:ascii="Century Schoolbook" w:hAnsi="Century Schoolbook" w:cs="Arial"/>
          <w:color w:val="000000" w:themeColor="text1"/>
          <w:sz w:val="24"/>
          <w:szCs w:val="24"/>
        </w:rPr>
        <w:t xml:space="preserve"> that ‘the recruitment process for the senior litigator positions’ was required to ‘be completed within a reasonable time’</w:t>
      </w:r>
      <w:r w:rsidRPr="002F1C10">
        <w:rPr>
          <w:rStyle w:val="FootnoteReference"/>
          <w:rFonts w:ascii="Century Schoolbook" w:hAnsi="Century Schoolbook" w:cs="Arial"/>
          <w:color w:val="000000" w:themeColor="text1"/>
          <w:sz w:val="24"/>
          <w:szCs w:val="24"/>
        </w:rPr>
        <w:footnoteReference w:id="134"/>
      </w:r>
      <w:r>
        <w:rPr>
          <w:rFonts w:ascii="Century Schoolbook" w:hAnsi="Century Schoolbook" w:cs="Arial"/>
          <w:color w:val="000000" w:themeColor="text1"/>
          <w:sz w:val="24"/>
          <w:szCs w:val="24"/>
        </w:rPr>
        <w:t xml:space="preserve"> </w:t>
      </w:r>
      <w:r w:rsidR="00344014">
        <w:rPr>
          <w:rFonts w:ascii="Century Schoolbook" w:hAnsi="Century Schoolbook" w:cs="Times New Roman"/>
          <w:color w:val="222222"/>
          <w:sz w:val="24"/>
          <w:szCs w:val="24"/>
          <w:shd w:val="clear" w:color="auto" w:fill="FFFFFF"/>
        </w:rPr>
        <w:t>– i</w:t>
      </w:r>
      <w:r w:rsidR="00413970" w:rsidRPr="004A1FFC">
        <w:rPr>
          <w:rFonts w:ascii="Century Schoolbook" w:hAnsi="Century Schoolbook" w:cs="Times New Roman"/>
          <w:color w:val="222222"/>
          <w:sz w:val="24"/>
          <w:szCs w:val="24"/>
          <w:shd w:val="clear" w:color="auto" w:fill="FFFFFF"/>
        </w:rPr>
        <w:t xml:space="preserve">n default of which, </w:t>
      </w:r>
      <w:r w:rsidR="006C16E5" w:rsidRPr="004A1FFC">
        <w:rPr>
          <w:rFonts w:ascii="Century Schoolbook" w:hAnsi="Century Schoolbook" w:cs="Times New Roman"/>
          <w:color w:val="222222"/>
          <w:sz w:val="24"/>
          <w:szCs w:val="24"/>
          <w:shd w:val="clear" w:color="auto" w:fill="FFFFFF"/>
        </w:rPr>
        <w:t>section C.1A.3</w:t>
      </w:r>
      <w:r w:rsidR="00175E11">
        <w:rPr>
          <w:rFonts w:ascii="Century Schoolbook" w:hAnsi="Century Schoolbook" w:cs="Times New Roman"/>
          <w:color w:val="222222"/>
          <w:sz w:val="24"/>
          <w:szCs w:val="24"/>
          <w:shd w:val="clear" w:color="auto" w:fill="FFFFFF"/>
        </w:rPr>
        <w:t xml:space="preserve"> of the Regulations</w:t>
      </w:r>
      <w:r w:rsidR="00FE4EF8">
        <w:rPr>
          <w:rFonts w:ascii="Century Schoolbook" w:hAnsi="Century Schoolbook" w:cs="Times New Roman"/>
          <w:color w:val="222222"/>
          <w:sz w:val="24"/>
          <w:szCs w:val="24"/>
          <w:shd w:val="clear" w:color="auto" w:fill="FFFFFF"/>
        </w:rPr>
        <w:t xml:space="preserve">, </w:t>
      </w:r>
      <w:r w:rsidR="00FE4EF8" w:rsidRPr="00457FB1">
        <w:rPr>
          <w:rFonts w:ascii="Century Schoolbook" w:hAnsi="Century Schoolbook" w:cs="Times New Roman"/>
          <w:color w:val="222222"/>
          <w:sz w:val="24"/>
          <w:szCs w:val="24"/>
          <w:shd w:val="clear" w:color="auto" w:fill="FFFFFF"/>
        </w:rPr>
        <w:t xml:space="preserve">applicable at the material </w:t>
      </w:r>
      <w:r w:rsidR="00FE4EF8" w:rsidRPr="00457FB1">
        <w:rPr>
          <w:rFonts w:ascii="Century Schoolbook" w:hAnsi="Century Schoolbook" w:cs="Times New Roman"/>
          <w:color w:val="222222"/>
          <w:sz w:val="24"/>
          <w:szCs w:val="24"/>
          <w:shd w:val="clear" w:color="auto" w:fill="FFFFFF"/>
        </w:rPr>
        <w:lastRenderedPageBreak/>
        <w:t>time</w:t>
      </w:r>
      <w:r w:rsidR="00FE4EF8">
        <w:rPr>
          <w:rFonts w:ascii="Century Schoolbook" w:hAnsi="Century Schoolbook" w:cs="Times New Roman"/>
          <w:color w:val="222222"/>
          <w:sz w:val="24"/>
          <w:szCs w:val="24"/>
          <w:shd w:val="clear" w:color="auto" w:fill="FFFFFF"/>
        </w:rPr>
        <w:t>,</w:t>
      </w:r>
      <w:r w:rsidR="006C16E5" w:rsidRPr="004A1FFC">
        <w:rPr>
          <w:rFonts w:ascii="Century Schoolbook" w:hAnsi="Century Schoolbook" w:cs="Times New Roman"/>
          <w:color w:val="222222"/>
          <w:sz w:val="24"/>
          <w:szCs w:val="24"/>
          <w:shd w:val="clear" w:color="auto" w:fill="FFFFFF"/>
        </w:rPr>
        <w:t xml:space="preserve"> required</w:t>
      </w:r>
      <w:r w:rsidR="00175E11">
        <w:rPr>
          <w:rFonts w:ascii="Century Schoolbook" w:hAnsi="Century Schoolbook" w:cs="Times New Roman"/>
          <w:color w:val="222222"/>
          <w:sz w:val="24"/>
          <w:szCs w:val="24"/>
          <w:shd w:val="clear" w:color="auto" w:fill="FFFFFF"/>
        </w:rPr>
        <w:t xml:space="preserve"> that</w:t>
      </w:r>
      <w:r w:rsidR="006C16E5" w:rsidRPr="004A1FFC">
        <w:rPr>
          <w:rFonts w:ascii="Century Schoolbook" w:hAnsi="Century Schoolbook" w:cs="Times New Roman"/>
          <w:color w:val="222222"/>
          <w:sz w:val="24"/>
          <w:szCs w:val="24"/>
          <w:shd w:val="clear" w:color="auto" w:fill="FFFFFF"/>
        </w:rPr>
        <w:t xml:space="preserve"> ‘the reasons for the non</w:t>
      </w:r>
      <w:r w:rsidR="006B79B6" w:rsidRPr="004A1FFC">
        <w:rPr>
          <w:rFonts w:ascii="Century Schoolbook" w:hAnsi="Century Schoolbook" w:cs="Times New Roman"/>
          <w:color w:val="222222"/>
          <w:sz w:val="24"/>
          <w:szCs w:val="24"/>
          <w:shd w:val="clear" w:color="auto" w:fill="FFFFFF"/>
        </w:rPr>
        <w:noBreakHyphen/>
      </w:r>
      <w:r w:rsidR="006C16E5" w:rsidRPr="004A1FFC">
        <w:rPr>
          <w:rFonts w:ascii="Century Schoolbook" w:hAnsi="Century Schoolbook" w:cs="Times New Roman"/>
          <w:color w:val="222222"/>
          <w:sz w:val="24"/>
          <w:szCs w:val="24"/>
          <w:shd w:val="clear" w:color="auto" w:fill="FFFFFF"/>
        </w:rPr>
        <w:t>compliance shall be recorded in writing.’</w:t>
      </w:r>
      <w:r w:rsidR="00B13CB9" w:rsidRPr="002F1C10">
        <w:rPr>
          <w:rStyle w:val="FootnoteReference"/>
          <w:rFonts w:ascii="Century Schoolbook" w:hAnsi="Century Schoolbook" w:cs="Times New Roman"/>
          <w:color w:val="222222"/>
          <w:sz w:val="24"/>
          <w:szCs w:val="24"/>
          <w:shd w:val="clear" w:color="auto" w:fill="FFFFFF"/>
        </w:rPr>
        <w:footnoteReference w:id="135"/>
      </w:r>
      <w:r w:rsidR="006C16E5" w:rsidRPr="004A1FFC">
        <w:rPr>
          <w:rFonts w:ascii="Century Schoolbook" w:hAnsi="Century Schoolbook" w:cs="Times New Roman"/>
          <w:color w:val="222222"/>
          <w:sz w:val="24"/>
          <w:szCs w:val="24"/>
          <w:shd w:val="clear" w:color="auto" w:fill="FFFFFF"/>
        </w:rPr>
        <w:t xml:space="preserve"> </w:t>
      </w:r>
      <w:r w:rsidR="009D555D">
        <w:rPr>
          <w:rFonts w:ascii="Century Schoolbook" w:hAnsi="Century Schoolbook" w:cs="Times New Roman"/>
          <w:color w:val="222222"/>
          <w:sz w:val="24"/>
          <w:szCs w:val="24"/>
          <w:shd w:val="clear" w:color="auto" w:fill="FFFFFF"/>
        </w:rPr>
        <w:t>In breach of the Regulations, the Pietermaritzburg, Durban and Mthatha Senior Litigator posts</w:t>
      </w:r>
      <w:r>
        <w:rPr>
          <w:rFonts w:ascii="Century Schoolbook" w:hAnsi="Century Schoolbook" w:cs="Times New Roman"/>
          <w:color w:val="222222"/>
          <w:sz w:val="24"/>
          <w:szCs w:val="24"/>
          <w:shd w:val="clear" w:color="auto" w:fill="FFFFFF"/>
        </w:rPr>
        <w:t xml:space="preserve"> </w:t>
      </w:r>
      <w:r w:rsidR="009D555D">
        <w:rPr>
          <w:rFonts w:ascii="Century Schoolbook" w:hAnsi="Century Schoolbook" w:cs="Times New Roman"/>
          <w:color w:val="222222"/>
          <w:sz w:val="24"/>
          <w:szCs w:val="24"/>
          <w:shd w:val="clear" w:color="auto" w:fill="FFFFFF"/>
        </w:rPr>
        <w:t>were deliberately not filled ‘</w:t>
      </w:r>
      <w:r w:rsidR="009D555D" w:rsidRPr="004A1FFC">
        <w:rPr>
          <w:rFonts w:ascii="Century Schoolbook" w:hAnsi="Century Schoolbook" w:cs="Times New Roman"/>
          <w:color w:val="222222"/>
          <w:sz w:val="24"/>
          <w:szCs w:val="24"/>
          <w:shd w:val="clear" w:color="auto" w:fill="FFFFFF"/>
        </w:rPr>
        <w:t>within 12 months after becoming vacant</w:t>
      </w:r>
      <w:r w:rsidR="009D555D">
        <w:rPr>
          <w:rFonts w:ascii="Century Schoolbook" w:hAnsi="Century Schoolbook" w:cs="Times New Roman"/>
          <w:color w:val="222222"/>
          <w:sz w:val="24"/>
          <w:szCs w:val="24"/>
          <w:shd w:val="clear" w:color="auto" w:fill="FFFFFF"/>
        </w:rPr>
        <w:t>’ or at all, and no ‘</w:t>
      </w:r>
      <w:r w:rsidR="009D555D" w:rsidRPr="004A1FFC">
        <w:rPr>
          <w:rFonts w:ascii="Century Schoolbook" w:hAnsi="Century Schoolbook" w:cs="Times New Roman"/>
          <w:color w:val="222222"/>
          <w:sz w:val="24"/>
          <w:szCs w:val="24"/>
          <w:shd w:val="clear" w:color="auto" w:fill="FFFFFF"/>
        </w:rPr>
        <w:t>reasons for the non</w:t>
      </w:r>
      <w:r w:rsidR="009D555D" w:rsidRPr="004A1FFC">
        <w:rPr>
          <w:rFonts w:ascii="Century Schoolbook" w:hAnsi="Century Schoolbook" w:cs="Times New Roman"/>
          <w:color w:val="222222"/>
          <w:sz w:val="24"/>
          <w:szCs w:val="24"/>
          <w:shd w:val="clear" w:color="auto" w:fill="FFFFFF"/>
        </w:rPr>
        <w:noBreakHyphen/>
        <w:t>compliance</w:t>
      </w:r>
      <w:r w:rsidR="009D555D">
        <w:rPr>
          <w:rFonts w:ascii="Century Schoolbook" w:hAnsi="Century Schoolbook" w:cs="Times New Roman"/>
          <w:color w:val="222222"/>
          <w:sz w:val="24"/>
          <w:szCs w:val="24"/>
          <w:shd w:val="clear" w:color="auto" w:fill="FFFFFF"/>
        </w:rPr>
        <w:t>’ were ‘</w:t>
      </w:r>
      <w:r w:rsidR="009D555D" w:rsidRPr="004A1FFC">
        <w:rPr>
          <w:rFonts w:ascii="Century Schoolbook" w:hAnsi="Century Schoolbook" w:cs="Times New Roman"/>
          <w:color w:val="222222"/>
          <w:sz w:val="24"/>
          <w:szCs w:val="24"/>
          <w:shd w:val="clear" w:color="auto" w:fill="FFFFFF"/>
        </w:rPr>
        <w:t>recorded in writing</w:t>
      </w:r>
      <w:r w:rsidR="009D555D">
        <w:rPr>
          <w:rFonts w:ascii="Century Schoolbook" w:hAnsi="Century Schoolbook" w:cs="Times New Roman"/>
          <w:color w:val="222222"/>
          <w:sz w:val="24"/>
          <w:szCs w:val="24"/>
          <w:shd w:val="clear" w:color="auto" w:fill="FFFFFF"/>
        </w:rPr>
        <w:t>’</w:t>
      </w:r>
      <w:r>
        <w:rPr>
          <w:rFonts w:ascii="Century Schoolbook" w:hAnsi="Century Schoolbook" w:cs="Times New Roman"/>
          <w:color w:val="222222"/>
          <w:sz w:val="24"/>
          <w:szCs w:val="24"/>
          <w:shd w:val="clear" w:color="auto" w:fill="FFFFFF"/>
        </w:rPr>
        <w:t>.</w:t>
      </w:r>
      <w:r>
        <w:rPr>
          <w:rStyle w:val="FootnoteReference"/>
          <w:rFonts w:ascii="Century Schoolbook" w:hAnsi="Century Schoolbook" w:cs="Times New Roman"/>
          <w:color w:val="222222"/>
          <w:sz w:val="24"/>
          <w:szCs w:val="24"/>
          <w:shd w:val="clear" w:color="auto" w:fill="FFFFFF"/>
        </w:rPr>
        <w:footnoteReference w:id="136"/>
      </w:r>
    </w:p>
    <w:p w:rsidR="00DA3940" w:rsidRDefault="00F4624B" w:rsidP="00A7420D">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2F1C10">
        <w:rPr>
          <w:rFonts w:ascii="Century Schoolbook" w:hAnsi="Century Schoolbook" w:cs="Times New Roman"/>
          <w:sz w:val="24"/>
          <w:szCs w:val="24"/>
        </w:rPr>
        <w:t>In unlawful contravention of</w:t>
      </w:r>
      <w:r w:rsidR="00B64D9C" w:rsidRPr="00B64D9C">
        <w:rPr>
          <w:rFonts w:ascii="Century Schoolbook" w:hAnsi="Century Schoolbook" w:cs="Times New Roman"/>
          <w:sz w:val="24"/>
          <w:szCs w:val="24"/>
        </w:rPr>
        <w:t xml:space="preserve"> </w:t>
      </w:r>
      <w:r w:rsidR="00B64D9C">
        <w:rPr>
          <w:rFonts w:ascii="Century Schoolbook" w:hAnsi="Century Schoolbook" w:cs="Times New Roman"/>
          <w:sz w:val="24"/>
          <w:szCs w:val="24"/>
        </w:rPr>
        <w:t xml:space="preserve">official </w:t>
      </w:r>
      <w:r w:rsidRPr="002F1C10">
        <w:rPr>
          <w:rFonts w:ascii="Century Schoolbook" w:hAnsi="Century Schoolbook" w:cs="Times New Roman"/>
          <w:sz w:val="24"/>
          <w:szCs w:val="24"/>
        </w:rPr>
        <w:t>‘business practice</w:t>
      </w:r>
      <w:r w:rsidR="00B64D9C">
        <w:rPr>
          <w:rFonts w:ascii="Century Schoolbook" w:hAnsi="Century Schoolbook" w:cs="Times New Roman"/>
          <w:sz w:val="24"/>
          <w:szCs w:val="24"/>
        </w:rPr>
        <w:t>s</w:t>
      </w:r>
      <w:r w:rsidRPr="002F1C10">
        <w:rPr>
          <w:rFonts w:ascii="Century Schoolbook" w:hAnsi="Century Schoolbook" w:cs="Times New Roman"/>
          <w:sz w:val="24"/>
          <w:szCs w:val="24"/>
        </w:rPr>
        <w:t xml:space="preserve">’ </w:t>
      </w:r>
      <w:r w:rsidR="007A3894" w:rsidRPr="002F1C10">
        <w:rPr>
          <w:rFonts w:ascii="Century Schoolbook" w:hAnsi="Century Schoolbook" w:cs="Times New Roman"/>
          <w:sz w:val="24"/>
          <w:szCs w:val="24"/>
        </w:rPr>
        <w:t>prescribed</w:t>
      </w:r>
      <w:r w:rsidR="007A3894">
        <w:rPr>
          <w:rFonts w:ascii="Century Schoolbook" w:hAnsi="Century Schoolbook" w:cs="Times New Roman"/>
          <w:sz w:val="24"/>
          <w:szCs w:val="24"/>
        </w:rPr>
        <w:t xml:space="preserve"> for the conduct of</w:t>
      </w:r>
      <w:r w:rsidR="00B64D9C">
        <w:rPr>
          <w:rFonts w:ascii="Century Schoolbook" w:hAnsi="Century Schoolbook" w:cs="Times New Roman"/>
          <w:sz w:val="24"/>
          <w:szCs w:val="24"/>
        </w:rPr>
        <w:t xml:space="preserve"> </w:t>
      </w:r>
      <w:r w:rsidR="00B64D9C" w:rsidRPr="002F1C10">
        <w:rPr>
          <w:rFonts w:ascii="Century Schoolbook" w:hAnsi="Century Schoolbook" w:cs="Times New Roman"/>
          <w:sz w:val="24"/>
          <w:szCs w:val="24"/>
        </w:rPr>
        <w:t xml:space="preserve">recruitment </w:t>
      </w:r>
      <w:r w:rsidR="007A3894">
        <w:rPr>
          <w:rFonts w:ascii="Century Schoolbook" w:hAnsi="Century Schoolbook" w:cs="Times New Roman"/>
          <w:sz w:val="24"/>
          <w:szCs w:val="24"/>
        </w:rPr>
        <w:t xml:space="preserve">operations in </w:t>
      </w:r>
      <w:r w:rsidR="00B64D9C">
        <w:rPr>
          <w:rFonts w:ascii="Century Schoolbook" w:hAnsi="Century Schoolbook" w:cs="Times New Roman"/>
          <w:sz w:val="24"/>
          <w:szCs w:val="24"/>
        </w:rPr>
        <w:t xml:space="preserve">the </w:t>
      </w:r>
      <w:r w:rsidRPr="002F1C10">
        <w:rPr>
          <w:rFonts w:ascii="Century Schoolbook" w:hAnsi="Century Schoolbook" w:cs="Times New Roman"/>
          <w:sz w:val="24"/>
          <w:szCs w:val="24"/>
        </w:rPr>
        <w:t>public sector</w:t>
      </w:r>
      <w:r w:rsidR="007A3894">
        <w:rPr>
          <w:rFonts w:ascii="Century Schoolbook" w:hAnsi="Century Schoolbook" w:cs="Times New Roman"/>
          <w:sz w:val="24"/>
          <w:szCs w:val="24"/>
        </w:rPr>
        <w:t xml:space="preserve"> – </w:t>
      </w:r>
      <w:r w:rsidRPr="002F1C10">
        <w:rPr>
          <w:rFonts w:ascii="Century Schoolbook" w:hAnsi="Century Schoolbook" w:cs="Times New Roman"/>
          <w:sz w:val="24"/>
          <w:szCs w:val="24"/>
        </w:rPr>
        <w:t>which LAS</w:t>
      </w:r>
      <w:r w:rsidRPr="006C6879">
        <w:rPr>
          <w:rFonts w:ascii="Century Schoolbook" w:hAnsi="Century Schoolbook" w:cs="Times New Roman"/>
          <w:sz w:val="24"/>
          <w:szCs w:val="24"/>
        </w:rPr>
        <w:t>A’s Recruitment code</w:t>
      </w:r>
      <w:r w:rsidR="005A6AF9" w:rsidRPr="006C6879">
        <w:rPr>
          <w:rFonts w:ascii="Century Schoolbook" w:hAnsi="Century Schoolbook" w:cs="Calibri"/>
          <w:color w:val="000000" w:themeColor="text1"/>
          <w:sz w:val="24"/>
          <w:szCs w:val="24"/>
        </w:rPr>
        <w:t xml:space="preserve">, </w:t>
      </w:r>
      <w:r w:rsidR="00F92F20">
        <w:rPr>
          <w:rFonts w:ascii="Century Schoolbook" w:hAnsi="Century Schoolbook" w:cs="Arial"/>
          <w:color w:val="000000" w:themeColor="text1"/>
          <w:sz w:val="24"/>
          <w:szCs w:val="24"/>
        </w:rPr>
        <w:t>approv</w:t>
      </w:r>
      <w:r w:rsidR="005A6AF9" w:rsidRPr="006C6879">
        <w:rPr>
          <w:rFonts w:ascii="Century Schoolbook" w:hAnsi="Century Schoolbook" w:cs="Arial"/>
          <w:color w:val="000000" w:themeColor="text1"/>
          <w:sz w:val="24"/>
          <w:szCs w:val="24"/>
        </w:rPr>
        <w:t>ed by the Board,</w:t>
      </w:r>
      <w:r w:rsidR="005A6AF9" w:rsidRPr="006C6879">
        <w:rPr>
          <w:rStyle w:val="FootnoteReference"/>
          <w:rFonts w:ascii="Century Schoolbook" w:hAnsi="Century Schoolbook" w:cs="Arial"/>
          <w:color w:val="000000" w:themeColor="text1"/>
          <w:sz w:val="24"/>
          <w:szCs w:val="24"/>
        </w:rPr>
        <w:footnoteReference w:id="137"/>
      </w:r>
      <w:r w:rsidR="00C54FF1">
        <w:rPr>
          <w:rFonts w:ascii="Century Schoolbook" w:hAnsi="Century Schoolbook" w:cs="Arial"/>
          <w:color w:val="000000" w:themeColor="text1"/>
          <w:sz w:val="24"/>
          <w:szCs w:val="24"/>
        </w:rPr>
        <w:t xml:space="preserve"> </w:t>
      </w:r>
      <w:r w:rsidR="00B13CB9">
        <w:rPr>
          <w:rFonts w:ascii="Century Schoolbook" w:hAnsi="Century Schoolbook" w:cs="Times New Roman"/>
          <w:sz w:val="24"/>
          <w:szCs w:val="24"/>
        </w:rPr>
        <w:t>requires</w:t>
      </w:r>
      <w:r w:rsidRPr="006C6879">
        <w:rPr>
          <w:rFonts w:ascii="Century Schoolbook" w:hAnsi="Century Schoolbook" w:cs="Times New Roman"/>
          <w:sz w:val="24"/>
          <w:szCs w:val="24"/>
        </w:rPr>
        <w:t xml:space="preserve"> LASA</w:t>
      </w:r>
      <w:r w:rsidR="00E90A91">
        <w:rPr>
          <w:rFonts w:ascii="Century Schoolbook" w:hAnsi="Century Schoolbook" w:cs="Times New Roman"/>
          <w:sz w:val="24"/>
          <w:szCs w:val="24"/>
        </w:rPr>
        <w:t>’s management executives</w:t>
      </w:r>
      <w:r w:rsidRPr="006C6879">
        <w:rPr>
          <w:rFonts w:ascii="Century Schoolbook" w:hAnsi="Century Schoolbook" w:cs="Times New Roman"/>
          <w:sz w:val="24"/>
          <w:szCs w:val="24"/>
        </w:rPr>
        <w:t xml:space="preserve"> </w:t>
      </w:r>
      <w:r w:rsidR="00B13CB9">
        <w:rPr>
          <w:rFonts w:ascii="Century Schoolbook" w:hAnsi="Century Schoolbook" w:cs="Times New Roman"/>
          <w:sz w:val="24"/>
          <w:szCs w:val="24"/>
        </w:rPr>
        <w:t>to observe</w:t>
      </w:r>
      <w:r w:rsidR="007A3894">
        <w:rPr>
          <w:rFonts w:ascii="Century Schoolbook" w:hAnsi="Century Schoolbook" w:cs="Times New Roman"/>
          <w:sz w:val="24"/>
          <w:szCs w:val="24"/>
        </w:rPr>
        <w:t xml:space="preserve"> – </w:t>
      </w:r>
      <w:r w:rsidRPr="006C6879">
        <w:rPr>
          <w:rFonts w:ascii="Century Schoolbook" w:hAnsi="Century Schoolbook" w:cs="Times New Roman"/>
          <w:sz w:val="24"/>
          <w:szCs w:val="24"/>
        </w:rPr>
        <w:t>t</w:t>
      </w:r>
      <w:r w:rsidR="000B2EC9" w:rsidRPr="006C6879">
        <w:rPr>
          <w:rFonts w:ascii="Century Schoolbook" w:hAnsi="Century Schoolbook" w:cs="Times New Roman"/>
          <w:sz w:val="24"/>
          <w:szCs w:val="24"/>
        </w:rPr>
        <w:t xml:space="preserve">hree budgeted and funded Senior Litigator posts </w:t>
      </w:r>
      <w:r w:rsidR="00344014">
        <w:rPr>
          <w:rFonts w:ascii="Century Schoolbook" w:hAnsi="Century Schoolbook" w:cs="Times New Roman"/>
          <w:color w:val="222222"/>
          <w:sz w:val="24"/>
          <w:szCs w:val="24"/>
          <w:shd w:val="clear" w:color="auto" w:fill="FFFFFF"/>
        </w:rPr>
        <w:t>at LASA</w:t>
      </w:r>
      <w:r w:rsidR="00344014" w:rsidRPr="006C6879">
        <w:rPr>
          <w:rFonts w:ascii="Century Schoolbook" w:hAnsi="Century Schoolbook" w:cs="Times New Roman"/>
          <w:sz w:val="24"/>
          <w:szCs w:val="24"/>
        </w:rPr>
        <w:t xml:space="preserve"> </w:t>
      </w:r>
      <w:r w:rsidR="000B2EC9" w:rsidRPr="006C6879">
        <w:rPr>
          <w:rFonts w:ascii="Century Schoolbook" w:hAnsi="Century Schoolbook" w:cs="Times New Roman"/>
          <w:sz w:val="24"/>
          <w:szCs w:val="24"/>
        </w:rPr>
        <w:t>have been vacant</w:t>
      </w:r>
      <w:r w:rsidR="00344014" w:rsidRPr="00344014">
        <w:rPr>
          <w:rFonts w:ascii="Century Schoolbook" w:hAnsi="Century Schoolbook" w:cs="Times New Roman"/>
          <w:sz w:val="24"/>
          <w:szCs w:val="24"/>
        </w:rPr>
        <w:t xml:space="preserve"> </w:t>
      </w:r>
      <w:r w:rsidR="00344014" w:rsidRPr="006C6879">
        <w:rPr>
          <w:rFonts w:ascii="Century Schoolbook" w:hAnsi="Century Schoolbook" w:cs="Times New Roman"/>
          <w:sz w:val="24"/>
          <w:szCs w:val="24"/>
        </w:rPr>
        <w:t>since their creation in November 2006</w:t>
      </w:r>
      <w:r w:rsidR="007A3894">
        <w:rPr>
          <w:rFonts w:ascii="Century Schoolbook" w:hAnsi="Century Schoolbook" w:cs="Times New Roman"/>
          <w:sz w:val="24"/>
          <w:szCs w:val="24"/>
        </w:rPr>
        <w:t>,</w:t>
      </w:r>
      <w:r w:rsidR="00344014" w:rsidRPr="006C6879">
        <w:rPr>
          <w:rStyle w:val="FootnoteReference"/>
          <w:rFonts w:ascii="Century Schoolbook" w:hAnsi="Century Schoolbook" w:cs="Times New Roman"/>
          <w:sz w:val="24"/>
          <w:szCs w:val="24"/>
        </w:rPr>
        <w:footnoteReference w:id="138"/>
      </w:r>
      <w:r w:rsidR="00FC3A05">
        <w:rPr>
          <w:rFonts w:ascii="Century Schoolbook" w:hAnsi="Century Schoolbook" w:cs="Times New Roman"/>
          <w:sz w:val="24"/>
          <w:szCs w:val="24"/>
        </w:rPr>
        <w:t xml:space="preserve"> </w:t>
      </w:r>
      <w:r w:rsidR="00F92F20" w:rsidRPr="006C6879">
        <w:rPr>
          <w:rFonts w:ascii="Century Schoolbook" w:hAnsi="Century Schoolbook" w:cs="Times New Roman"/>
          <w:color w:val="222222"/>
          <w:sz w:val="24"/>
          <w:szCs w:val="24"/>
          <w:shd w:val="clear" w:color="auto" w:fill="FFFFFF"/>
        </w:rPr>
        <w:t>f</w:t>
      </w:r>
      <w:r w:rsidR="00F92F20" w:rsidRPr="006C6879">
        <w:rPr>
          <w:rFonts w:ascii="Century Schoolbook" w:hAnsi="Century Schoolbook" w:cs="Times New Roman"/>
          <w:sz w:val="24"/>
          <w:szCs w:val="24"/>
        </w:rPr>
        <w:t>or over thirteen years</w:t>
      </w:r>
      <w:r w:rsidR="007A3894" w:rsidRPr="007A3894">
        <w:rPr>
          <w:rFonts w:ascii="Century Schoolbook" w:hAnsi="Century Schoolbook" w:cs="Times New Roman"/>
          <w:sz w:val="24"/>
          <w:szCs w:val="24"/>
        </w:rPr>
        <w:t xml:space="preserve"> </w:t>
      </w:r>
      <w:r w:rsidR="007A3894">
        <w:rPr>
          <w:rFonts w:ascii="Century Schoolbook" w:hAnsi="Century Schoolbook" w:cs="Times New Roman"/>
          <w:sz w:val="24"/>
          <w:szCs w:val="24"/>
        </w:rPr>
        <w:t>now</w:t>
      </w:r>
      <w:r w:rsidR="00344014">
        <w:rPr>
          <w:rFonts w:ascii="Century Schoolbook" w:hAnsi="Century Schoolbook" w:cs="Times New Roman"/>
          <w:sz w:val="24"/>
          <w:szCs w:val="24"/>
        </w:rPr>
        <w:t>.</w:t>
      </w:r>
      <w:r w:rsidR="0025189C" w:rsidRPr="0025189C">
        <w:rPr>
          <w:rFonts w:ascii="Century Schoolbook" w:hAnsi="Century Schoolbook" w:cs="Times New Roman"/>
          <w:sz w:val="24"/>
          <w:szCs w:val="24"/>
        </w:rPr>
        <w:t xml:space="preserve"> </w:t>
      </w:r>
    </w:p>
    <w:p w:rsidR="0025189C" w:rsidRPr="006C6879" w:rsidRDefault="00B64D9C" w:rsidP="0025189C">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Very m</w:t>
      </w:r>
      <w:r w:rsidR="005836E0">
        <w:rPr>
          <w:rFonts w:ascii="Century Schoolbook" w:hAnsi="Century Schoolbook" w:cs="Times New Roman"/>
          <w:sz w:val="24"/>
          <w:szCs w:val="24"/>
        </w:rPr>
        <w:t>uch m</w:t>
      </w:r>
      <w:r w:rsidR="009510E4">
        <w:rPr>
          <w:rFonts w:ascii="Century Schoolbook" w:hAnsi="Century Schoolbook" w:cs="Times New Roman"/>
          <w:sz w:val="24"/>
          <w:szCs w:val="24"/>
        </w:rPr>
        <w:t xml:space="preserve">ore </w:t>
      </w:r>
      <w:r w:rsidR="00344014">
        <w:rPr>
          <w:rFonts w:ascii="Century Schoolbook" w:hAnsi="Century Schoolbook" w:cs="Times New Roman"/>
          <w:sz w:val="24"/>
          <w:szCs w:val="24"/>
        </w:rPr>
        <w:t>serious</w:t>
      </w:r>
      <w:r w:rsidR="00E61B59">
        <w:rPr>
          <w:rFonts w:ascii="Century Schoolbook" w:hAnsi="Century Schoolbook" w:cs="Times New Roman"/>
          <w:sz w:val="24"/>
          <w:szCs w:val="24"/>
        </w:rPr>
        <w:t xml:space="preserve"> </w:t>
      </w:r>
      <w:r w:rsidR="009510E4">
        <w:rPr>
          <w:rFonts w:ascii="Century Schoolbook" w:hAnsi="Century Schoolbook" w:cs="Times New Roman"/>
          <w:sz w:val="24"/>
          <w:szCs w:val="24"/>
        </w:rPr>
        <w:t>than</w:t>
      </w:r>
      <w:r w:rsidR="0025189C">
        <w:rPr>
          <w:rFonts w:ascii="Century Schoolbook" w:hAnsi="Century Schoolbook" w:cs="Times New Roman"/>
          <w:sz w:val="24"/>
          <w:szCs w:val="24"/>
        </w:rPr>
        <w:t xml:space="preserve"> </w:t>
      </w:r>
      <w:r w:rsidR="009510E4">
        <w:rPr>
          <w:rFonts w:ascii="Century Schoolbook" w:hAnsi="Century Schoolbook" w:cs="Times New Roman"/>
          <w:sz w:val="24"/>
          <w:szCs w:val="24"/>
        </w:rPr>
        <w:t xml:space="preserve">unlawfully failing to </w:t>
      </w:r>
      <w:r w:rsidR="0025189C">
        <w:rPr>
          <w:rFonts w:ascii="Century Schoolbook" w:hAnsi="Century Schoolbook" w:cs="Times New Roman"/>
          <w:sz w:val="24"/>
          <w:szCs w:val="24"/>
        </w:rPr>
        <w:t>compl</w:t>
      </w:r>
      <w:r w:rsidR="009510E4">
        <w:rPr>
          <w:rFonts w:ascii="Century Schoolbook" w:hAnsi="Century Schoolbook" w:cs="Times New Roman"/>
          <w:sz w:val="24"/>
          <w:szCs w:val="24"/>
        </w:rPr>
        <w:t>y</w:t>
      </w:r>
      <w:r w:rsidR="0025189C">
        <w:rPr>
          <w:rFonts w:ascii="Century Schoolbook" w:hAnsi="Century Schoolbook" w:cs="Times New Roman"/>
          <w:sz w:val="24"/>
          <w:szCs w:val="24"/>
        </w:rPr>
        <w:t xml:space="preserve"> with</w:t>
      </w:r>
      <w:r w:rsidR="00AC5AD4">
        <w:rPr>
          <w:rFonts w:ascii="Century Schoolbook" w:hAnsi="Century Schoolbook" w:cs="Times New Roman"/>
          <w:sz w:val="24"/>
          <w:szCs w:val="24"/>
        </w:rPr>
        <w:t xml:space="preserve"> codified</w:t>
      </w:r>
      <w:r w:rsidR="0025189C">
        <w:rPr>
          <w:rFonts w:ascii="Century Schoolbook" w:hAnsi="Century Schoolbook" w:cs="Times New Roman"/>
          <w:sz w:val="24"/>
          <w:szCs w:val="24"/>
        </w:rPr>
        <w:t xml:space="preserve"> recruitment practice in the public service, and i</w:t>
      </w:r>
      <w:r w:rsidR="00413970">
        <w:rPr>
          <w:rFonts w:ascii="Century Schoolbook" w:hAnsi="Century Schoolbook" w:cs="Times New Roman"/>
          <w:sz w:val="24"/>
          <w:szCs w:val="24"/>
        </w:rPr>
        <w:t xml:space="preserve">rrespective of the mess of </w:t>
      </w:r>
      <w:r w:rsidR="00AC5AD4">
        <w:rPr>
          <w:rFonts w:ascii="Century Schoolbook" w:hAnsi="Century Schoolbook" w:cs="Times New Roman"/>
          <w:sz w:val="24"/>
          <w:szCs w:val="24"/>
        </w:rPr>
        <w:t xml:space="preserve">contradictory </w:t>
      </w:r>
      <w:r w:rsidR="00413970">
        <w:rPr>
          <w:rFonts w:ascii="Century Schoolbook" w:hAnsi="Century Schoolbook" w:cs="Times New Roman"/>
          <w:sz w:val="24"/>
          <w:szCs w:val="24"/>
        </w:rPr>
        <w:t xml:space="preserve">lying excuses </w:t>
      </w:r>
      <w:r w:rsidR="00AC5AD4">
        <w:rPr>
          <w:rFonts w:ascii="Century Schoolbook" w:hAnsi="Century Schoolbook" w:cs="Times New Roman"/>
          <w:sz w:val="24"/>
          <w:szCs w:val="24"/>
        </w:rPr>
        <w:t xml:space="preserve">later </w:t>
      </w:r>
      <w:r w:rsidR="005836E0">
        <w:rPr>
          <w:rFonts w:ascii="Century Schoolbook" w:hAnsi="Century Schoolbook" w:cs="Times New Roman"/>
          <w:sz w:val="24"/>
          <w:szCs w:val="24"/>
        </w:rPr>
        <w:t>forged and uttered</w:t>
      </w:r>
      <w:r w:rsidR="0025189C">
        <w:rPr>
          <w:rFonts w:ascii="Century Schoolbook" w:hAnsi="Century Schoolbook" w:cs="Times New Roman"/>
          <w:sz w:val="24"/>
          <w:szCs w:val="24"/>
        </w:rPr>
        <w:t xml:space="preserve"> </w:t>
      </w:r>
      <w:r w:rsidR="00AC5AD4">
        <w:rPr>
          <w:rFonts w:ascii="Century Schoolbook" w:hAnsi="Century Schoolbook" w:cs="Times New Roman"/>
          <w:sz w:val="24"/>
          <w:szCs w:val="24"/>
        </w:rPr>
        <w:t>by CLE Hundermark, CEO Vedalankar</w:t>
      </w:r>
      <w:r w:rsidR="00561ED3">
        <w:rPr>
          <w:rFonts w:ascii="Century Schoolbook" w:hAnsi="Century Schoolbook" w:cs="Times New Roman"/>
          <w:sz w:val="24"/>
          <w:szCs w:val="24"/>
        </w:rPr>
        <w:t>,</w:t>
      </w:r>
      <w:r w:rsidR="00AC5AD4">
        <w:rPr>
          <w:rFonts w:ascii="Century Schoolbook" w:hAnsi="Century Schoolbook" w:cs="Times New Roman"/>
          <w:sz w:val="24"/>
          <w:szCs w:val="24"/>
        </w:rPr>
        <w:t xml:space="preserve"> NOE Nair </w:t>
      </w:r>
      <w:r w:rsidR="00561ED3">
        <w:rPr>
          <w:rFonts w:ascii="Century Schoolbook" w:hAnsi="Century Schoolbook" w:cs="Times New Roman"/>
          <w:sz w:val="24"/>
          <w:szCs w:val="24"/>
        </w:rPr>
        <w:t xml:space="preserve">and chairperson Mlambo JP </w:t>
      </w:r>
      <w:r w:rsidR="00AC5AD4">
        <w:rPr>
          <w:rFonts w:ascii="Century Schoolbook" w:hAnsi="Century Schoolbook" w:cs="Times New Roman"/>
          <w:sz w:val="24"/>
          <w:szCs w:val="24"/>
        </w:rPr>
        <w:t>under pressure to explain why the selected and recommended candidates for the</w:t>
      </w:r>
      <w:r w:rsidR="0025189C">
        <w:rPr>
          <w:rFonts w:ascii="Century Schoolbook" w:hAnsi="Century Schoolbook" w:cs="Times New Roman"/>
          <w:sz w:val="24"/>
          <w:szCs w:val="24"/>
        </w:rPr>
        <w:t xml:space="preserve"> critical Pietermaritzburg, Durban and Mthatha Senior Litigator</w:t>
      </w:r>
      <w:r w:rsidR="00413970">
        <w:rPr>
          <w:rFonts w:ascii="Century Schoolbook" w:hAnsi="Century Schoolbook" w:cs="Times New Roman"/>
          <w:sz w:val="24"/>
          <w:szCs w:val="24"/>
        </w:rPr>
        <w:t xml:space="preserve"> posts</w:t>
      </w:r>
      <w:r w:rsidR="00AC5AD4">
        <w:rPr>
          <w:rFonts w:ascii="Century Schoolbook" w:hAnsi="Century Schoolbook" w:cs="Times New Roman"/>
          <w:sz w:val="24"/>
          <w:szCs w:val="24"/>
        </w:rPr>
        <w:t xml:space="preserve"> </w:t>
      </w:r>
      <w:r w:rsidR="007A3894">
        <w:rPr>
          <w:rFonts w:ascii="Century Schoolbook" w:hAnsi="Century Schoolbook" w:cs="Times New Roman"/>
          <w:sz w:val="24"/>
          <w:szCs w:val="24"/>
        </w:rPr>
        <w:t>weren’t</w:t>
      </w:r>
      <w:r w:rsidR="00AC5AD4">
        <w:rPr>
          <w:rFonts w:ascii="Century Schoolbook" w:hAnsi="Century Schoolbook" w:cs="Times New Roman"/>
          <w:sz w:val="24"/>
          <w:szCs w:val="24"/>
        </w:rPr>
        <w:t xml:space="preserve"> appointed</w:t>
      </w:r>
      <w:r w:rsidR="00413970">
        <w:rPr>
          <w:rFonts w:ascii="Century Schoolbook" w:hAnsi="Century Schoolbook" w:cs="Times New Roman"/>
          <w:sz w:val="24"/>
          <w:szCs w:val="24"/>
        </w:rPr>
        <w:t xml:space="preserve">, </w:t>
      </w:r>
      <w:r w:rsidR="0025189C">
        <w:rPr>
          <w:rFonts w:ascii="Century Schoolbook" w:hAnsi="Century Schoolbook" w:cs="Times New Roman"/>
          <w:sz w:val="24"/>
          <w:szCs w:val="24"/>
        </w:rPr>
        <w:t xml:space="preserve">LASA’s </w:t>
      </w:r>
      <w:r w:rsidR="0025189C" w:rsidRPr="006C6879">
        <w:rPr>
          <w:rFonts w:ascii="Century Schoolbook" w:hAnsi="Century Schoolbook" w:cs="Times New Roman"/>
          <w:sz w:val="24"/>
          <w:szCs w:val="24"/>
        </w:rPr>
        <w:lastRenderedPageBreak/>
        <w:t xml:space="preserve">deliberate failure to fill </w:t>
      </w:r>
      <w:r w:rsidR="00EB01B6">
        <w:rPr>
          <w:rFonts w:ascii="Century Schoolbook" w:hAnsi="Century Schoolbook" w:cs="Times New Roman"/>
          <w:sz w:val="24"/>
          <w:szCs w:val="24"/>
        </w:rPr>
        <w:t xml:space="preserve">these </w:t>
      </w:r>
      <w:r w:rsidR="0025189C" w:rsidRPr="006C6879">
        <w:rPr>
          <w:rFonts w:ascii="Century Schoolbook" w:hAnsi="Century Schoolbook" w:cs="Times New Roman"/>
          <w:sz w:val="24"/>
          <w:szCs w:val="24"/>
        </w:rPr>
        <w:t>budgeted and funded</w:t>
      </w:r>
      <w:r w:rsidR="0025189C" w:rsidRPr="00B13CB9">
        <w:rPr>
          <w:rFonts w:ascii="Century Schoolbook" w:hAnsi="Century Schoolbook" w:cs="Times New Roman"/>
          <w:sz w:val="24"/>
          <w:szCs w:val="24"/>
        </w:rPr>
        <w:t xml:space="preserve"> </w:t>
      </w:r>
      <w:r w:rsidR="00561ED3">
        <w:rPr>
          <w:rFonts w:ascii="Century Schoolbook" w:hAnsi="Century Schoolbook" w:cs="Times New Roman"/>
          <w:sz w:val="24"/>
          <w:szCs w:val="24"/>
        </w:rPr>
        <w:t>critical</w:t>
      </w:r>
      <w:r w:rsidR="005836E0">
        <w:rPr>
          <w:rFonts w:ascii="Century Schoolbook" w:hAnsi="Century Schoolbook" w:cs="Times New Roman"/>
          <w:sz w:val="24"/>
          <w:szCs w:val="24"/>
        </w:rPr>
        <w:t xml:space="preserve"> </w:t>
      </w:r>
      <w:r w:rsidR="00EB01B6">
        <w:rPr>
          <w:rFonts w:ascii="Century Schoolbook" w:hAnsi="Century Schoolbook" w:cs="Times New Roman"/>
          <w:sz w:val="24"/>
          <w:szCs w:val="24"/>
        </w:rPr>
        <w:t>p</w:t>
      </w:r>
      <w:r w:rsidR="0025189C" w:rsidRPr="006C6879">
        <w:rPr>
          <w:rFonts w:ascii="Century Schoolbook" w:hAnsi="Century Schoolbook" w:cs="Times New Roman"/>
          <w:sz w:val="24"/>
          <w:szCs w:val="24"/>
        </w:rPr>
        <w:t xml:space="preserve">osts, and its failure to </w:t>
      </w:r>
      <w:r w:rsidR="00561ED3">
        <w:rPr>
          <w:rFonts w:ascii="Century Schoolbook" w:hAnsi="Century Schoolbook" w:cs="Times New Roman"/>
          <w:sz w:val="24"/>
          <w:szCs w:val="24"/>
        </w:rPr>
        <w:t xml:space="preserve">duly </w:t>
      </w:r>
      <w:r w:rsidR="005836E0">
        <w:rPr>
          <w:rFonts w:ascii="Century Schoolbook" w:hAnsi="Century Schoolbook" w:cs="Times New Roman"/>
          <w:sz w:val="24"/>
          <w:szCs w:val="24"/>
        </w:rPr>
        <w:t>apply</w:t>
      </w:r>
      <w:r w:rsidR="0025189C" w:rsidRPr="006C6879">
        <w:rPr>
          <w:rFonts w:ascii="Century Schoolbook" w:hAnsi="Century Schoolbook" w:cs="Times New Roman"/>
          <w:sz w:val="24"/>
          <w:szCs w:val="24"/>
        </w:rPr>
        <w:t xml:space="preserve"> the salary </w:t>
      </w:r>
      <w:r w:rsidR="00561ED3">
        <w:rPr>
          <w:rFonts w:ascii="Century Schoolbook" w:hAnsi="Century Schoolbook" w:cs="Times New Roman"/>
          <w:sz w:val="24"/>
          <w:szCs w:val="24"/>
        </w:rPr>
        <w:t>revenue</w:t>
      </w:r>
      <w:r w:rsidR="0025189C" w:rsidRPr="006C6879">
        <w:rPr>
          <w:rFonts w:ascii="Century Schoolbook" w:hAnsi="Century Schoolbook" w:cs="Times New Roman"/>
          <w:sz w:val="24"/>
          <w:szCs w:val="24"/>
        </w:rPr>
        <w:t xml:space="preserve"> it budgets </w:t>
      </w:r>
      <w:r w:rsidR="00EB01B6">
        <w:rPr>
          <w:rFonts w:ascii="Century Schoolbook" w:hAnsi="Century Schoolbook" w:cs="Times New Roman"/>
          <w:sz w:val="24"/>
          <w:szCs w:val="24"/>
        </w:rPr>
        <w:t xml:space="preserve">for </w:t>
      </w:r>
      <w:r w:rsidR="007A3894" w:rsidRPr="006C6879">
        <w:rPr>
          <w:rFonts w:ascii="Century Schoolbook" w:hAnsi="Century Schoolbook" w:cs="Times New Roman"/>
          <w:sz w:val="24"/>
          <w:szCs w:val="24"/>
        </w:rPr>
        <w:t xml:space="preserve">the posts </w:t>
      </w:r>
      <w:r w:rsidR="0025189C" w:rsidRPr="006C6879">
        <w:rPr>
          <w:rFonts w:ascii="Century Schoolbook" w:hAnsi="Century Schoolbook" w:cs="Times New Roman"/>
          <w:sz w:val="24"/>
          <w:szCs w:val="24"/>
        </w:rPr>
        <w:t>and receives</w:t>
      </w:r>
      <w:r w:rsidR="007A3894">
        <w:rPr>
          <w:rFonts w:ascii="Century Schoolbook" w:hAnsi="Century Schoolbook" w:cs="Times New Roman"/>
          <w:sz w:val="24"/>
          <w:szCs w:val="24"/>
        </w:rPr>
        <w:t xml:space="preserve"> for them</w:t>
      </w:r>
      <w:r w:rsidR="0025189C" w:rsidRPr="006C6879">
        <w:rPr>
          <w:rFonts w:ascii="Century Schoolbook" w:hAnsi="Century Schoolbook" w:cs="Times New Roman"/>
          <w:sz w:val="24"/>
          <w:szCs w:val="24"/>
        </w:rPr>
        <w:t xml:space="preserve"> </w:t>
      </w:r>
      <w:r w:rsidR="0025189C">
        <w:rPr>
          <w:rFonts w:ascii="Century Schoolbook" w:hAnsi="Century Schoolbook" w:cs="Times New Roman"/>
          <w:sz w:val="24"/>
          <w:szCs w:val="24"/>
        </w:rPr>
        <w:t>from the Treasury via the Department</w:t>
      </w:r>
      <w:r w:rsidR="0025189C" w:rsidRPr="006C6879">
        <w:rPr>
          <w:rFonts w:ascii="Century Schoolbook" w:hAnsi="Century Schoolbook" w:cs="Times New Roman"/>
          <w:sz w:val="24"/>
          <w:szCs w:val="24"/>
        </w:rPr>
        <w:t>, has unlawfully contravened and continues to unlawfully contravene the PFMA.</w:t>
      </w:r>
    </w:p>
    <w:p w:rsidR="00561ED3" w:rsidRDefault="00561ED3" w:rsidP="00561ED3">
      <w:pPr>
        <w:pStyle w:val="ListParagraph"/>
        <w:tabs>
          <w:tab w:val="left" w:pos="284"/>
          <w:tab w:val="left" w:pos="426"/>
        </w:tabs>
        <w:spacing w:line="360" w:lineRule="auto"/>
        <w:ind w:left="0"/>
        <w:contextualSpacing w:val="0"/>
        <w:rPr>
          <w:rFonts w:ascii="Century Schoolbook" w:hAnsi="Century Schoolbook" w:cs="Times New Roman"/>
          <w:b/>
          <w:sz w:val="24"/>
          <w:szCs w:val="24"/>
        </w:rPr>
      </w:pPr>
      <w:r w:rsidRPr="00561ED3">
        <w:rPr>
          <w:rFonts w:ascii="Century Schoolbook" w:hAnsi="Century Schoolbook" w:cs="Times New Roman"/>
          <w:b/>
          <w:sz w:val="24"/>
          <w:szCs w:val="24"/>
        </w:rPr>
        <w:t>CRIMINAL AND OTHER CAPITAL CONTRAVENTIONS OF</w:t>
      </w:r>
      <w:r w:rsidR="00305C25">
        <w:rPr>
          <w:rFonts w:ascii="Century Schoolbook" w:hAnsi="Century Schoolbook" w:cs="Times New Roman"/>
          <w:b/>
          <w:sz w:val="24"/>
          <w:szCs w:val="24"/>
        </w:rPr>
        <w:t xml:space="preserve"> </w:t>
      </w:r>
      <w:r w:rsidRPr="00561ED3">
        <w:rPr>
          <w:rFonts w:ascii="Century Schoolbook" w:hAnsi="Century Schoolbook" w:cs="Times New Roman"/>
          <w:b/>
          <w:sz w:val="24"/>
          <w:szCs w:val="24"/>
        </w:rPr>
        <w:t>SECTIONS 53(3), 53(4), 55(1)(a) &amp; 55(2)(a) OF THE PFMA, READ WITH SECTION 86 ‘OFFENCES AND PENALTIES’; AND CRIMINAL CONTRAVENTIONS OF SECTION 17(2) OF THE POWERS, PRIVILEGES AND IMMUNITIES OF PARLIAMENT AND PROVINCIAL LEGISLATURES ACT 4 OF 2004</w:t>
      </w:r>
      <w:r w:rsidR="00940367">
        <w:rPr>
          <w:rFonts w:ascii="Century Schoolbook" w:hAnsi="Century Schoolbook" w:cs="Times New Roman"/>
          <w:b/>
          <w:sz w:val="24"/>
          <w:szCs w:val="24"/>
        </w:rPr>
        <w:t xml:space="preserve"> </w:t>
      </w:r>
      <w:r w:rsidR="00940367" w:rsidRPr="00940367">
        <w:rPr>
          <w:rFonts w:ascii="Century Schoolbook" w:hAnsi="Century Schoolbook" w:cs="Times New Roman"/>
          <w:b/>
          <w:sz w:val="24"/>
          <w:szCs w:val="24"/>
        </w:rPr>
        <w:t xml:space="preserve">IN FALSELY REPORTING TO </w:t>
      </w:r>
      <w:r w:rsidR="00AA3BC3">
        <w:rPr>
          <w:rFonts w:ascii="Century Schoolbook" w:hAnsi="Century Schoolbook" w:cs="Times New Roman"/>
          <w:b/>
          <w:sz w:val="24"/>
          <w:szCs w:val="24"/>
        </w:rPr>
        <w:t xml:space="preserve">MISLEAD </w:t>
      </w:r>
      <w:r w:rsidR="00940367" w:rsidRPr="00940367">
        <w:rPr>
          <w:rFonts w:ascii="Century Schoolbook" w:hAnsi="Century Schoolbook" w:cs="Times New Roman"/>
          <w:b/>
          <w:sz w:val="24"/>
          <w:szCs w:val="24"/>
        </w:rPr>
        <w:t>THE JUSTICE PORTFOLIO COMMITTEE</w:t>
      </w:r>
    </w:p>
    <w:p w:rsidR="008F395C" w:rsidRPr="006C6879" w:rsidRDefault="008F395C" w:rsidP="00561ED3">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Section 1 of the PFMA defines </w:t>
      </w:r>
      <w:r w:rsidRPr="006C6879">
        <w:rPr>
          <w:rFonts w:ascii="Century Schoolbook" w:hAnsi="Century Schoolbook" w:cs="Times New Roman"/>
          <w:b/>
          <w:sz w:val="24"/>
          <w:szCs w:val="24"/>
        </w:rPr>
        <w:t>‘unauthorised expenditure’</w:t>
      </w:r>
      <w:r w:rsidRPr="006C6879">
        <w:rPr>
          <w:rFonts w:ascii="Century Schoolbook" w:hAnsi="Century Schoolbook" w:cs="Times New Roman"/>
          <w:sz w:val="24"/>
          <w:szCs w:val="24"/>
        </w:rPr>
        <w:t xml:space="preserve"> </w:t>
      </w:r>
      <w:r w:rsidRPr="003C5D62">
        <w:rPr>
          <w:rFonts w:ascii="Century Schoolbook" w:hAnsi="Century Schoolbook" w:cs="Times New Roman"/>
          <w:i/>
          <w:sz w:val="24"/>
          <w:szCs w:val="24"/>
        </w:rPr>
        <w:t>inter alia</w:t>
      </w:r>
      <w:r w:rsidRPr="006C6879">
        <w:rPr>
          <w:rFonts w:ascii="Century Schoolbook" w:hAnsi="Century Schoolbook" w:cs="Times New Roman"/>
          <w:sz w:val="24"/>
          <w:szCs w:val="24"/>
        </w:rPr>
        <w:t xml:space="preserve"> as ‘expenditure not in accordance with the purpose of a vote or, in the case of a main division, not in accordance with the purpose of the main division’.</w:t>
      </w:r>
    </w:p>
    <w:p w:rsidR="008F395C" w:rsidRPr="006C6879" w:rsidRDefault="00DB4B9A" w:rsidP="008F395C">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P</w:t>
      </w:r>
      <w:r w:rsidRPr="006C6879">
        <w:rPr>
          <w:rFonts w:ascii="Century Schoolbook" w:hAnsi="Century Schoolbook" w:cs="Times New Roman"/>
          <w:sz w:val="24"/>
          <w:szCs w:val="24"/>
        </w:rPr>
        <w:t>resent</w:t>
      </w:r>
      <w:r>
        <w:rPr>
          <w:rFonts w:ascii="Century Schoolbook" w:hAnsi="Century Schoolbook" w:cs="Times New Roman"/>
          <w:sz w:val="24"/>
          <w:szCs w:val="24"/>
        </w:rPr>
        <w:t>ing</w:t>
      </w:r>
      <w:r w:rsidR="005622A9">
        <w:rPr>
          <w:rFonts w:ascii="Century Schoolbook" w:hAnsi="Century Schoolbook" w:cs="Times New Roman"/>
          <w:sz w:val="24"/>
          <w:szCs w:val="24"/>
        </w:rPr>
        <w:t xml:space="preserve"> </w:t>
      </w:r>
      <w:r w:rsidRPr="006C6879">
        <w:rPr>
          <w:rFonts w:ascii="Century Schoolbook" w:hAnsi="Century Schoolbook" w:cs="Times New Roman"/>
          <w:sz w:val="24"/>
          <w:szCs w:val="24"/>
        </w:rPr>
        <w:t xml:space="preserve">the then </w:t>
      </w:r>
      <w:r>
        <w:rPr>
          <w:rFonts w:ascii="Century Schoolbook" w:hAnsi="Century Schoolbook" w:cs="Times New Roman"/>
          <w:sz w:val="24"/>
          <w:szCs w:val="24"/>
        </w:rPr>
        <w:t>recently enacted</w:t>
      </w:r>
      <w:r w:rsidRPr="006C6879">
        <w:rPr>
          <w:rFonts w:ascii="Century Schoolbook" w:hAnsi="Century Schoolbook" w:cs="Times New Roman"/>
          <w:sz w:val="24"/>
          <w:szCs w:val="24"/>
        </w:rPr>
        <w:t xml:space="preserve"> PFMA to the Finance Portfolio Committee of the National Assembly on 19 March 2001</w:t>
      </w:r>
      <w:r>
        <w:rPr>
          <w:rFonts w:ascii="Century Schoolbook" w:hAnsi="Century Schoolbook" w:cs="Times New Roman"/>
          <w:sz w:val="24"/>
          <w:szCs w:val="24"/>
        </w:rPr>
        <w:t>, t</w:t>
      </w:r>
      <w:r w:rsidR="001D3056" w:rsidRPr="006C6879">
        <w:rPr>
          <w:rFonts w:ascii="Century Schoolbook" w:hAnsi="Century Schoolbook" w:cs="Times New Roman"/>
          <w:sz w:val="24"/>
          <w:szCs w:val="24"/>
        </w:rPr>
        <w:t xml:space="preserve">he Treasury explained </w:t>
      </w:r>
      <w:r w:rsidR="001D3056">
        <w:rPr>
          <w:rFonts w:ascii="Century Schoolbook" w:hAnsi="Century Schoolbook" w:cs="Times New Roman"/>
          <w:sz w:val="24"/>
          <w:szCs w:val="24"/>
        </w:rPr>
        <w:t xml:space="preserve">the </w:t>
      </w:r>
      <w:r w:rsidR="001D3056" w:rsidRPr="006C6879">
        <w:rPr>
          <w:rFonts w:ascii="Century Schoolbook" w:hAnsi="Century Schoolbook" w:cs="Times New Roman"/>
          <w:sz w:val="24"/>
          <w:szCs w:val="24"/>
        </w:rPr>
        <w:t xml:space="preserve">gravity of ‘underexpenditure’ </w:t>
      </w:r>
      <w:r w:rsidR="001D3056">
        <w:rPr>
          <w:rFonts w:ascii="Century Schoolbook" w:hAnsi="Century Schoolbook" w:cs="Times New Roman"/>
          <w:sz w:val="24"/>
          <w:szCs w:val="24"/>
        </w:rPr>
        <w:t>a</w:t>
      </w:r>
      <w:r w:rsidR="007505F0" w:rsidRPr="006C6879">
        <w:rPr>
          <w:rFonts w:ascii="Century Schoolbook" w:hAnsi="Century Schoolbook" w:cs="Times New Roman"/>
          <w:sz w:val="24"/>
          <w:szCs w:val="24"/>
        </w:rPr>
        <w:t xml:space="preserve">s a </w:t>
      </w:r>
      <w:r w:rsidR="001D3056">
        <w:rPr>
          <w:rFonts w:ascii="Century Schoolbook" w:hAnsi="Century Schoolbook" w:cs="Times New Roman"/>
          <w:sz w:val="24"/>
          <w:szCs w:val="24"/>
        </w:rPr>
        <w:t>form</w:t>
      </w:r>
      <w:r w:rsidR="007505F0" w:rsidRPr="006C6879">
        <w:rPr>
          <w:rFonts w:ascii="Century Schoolbook" w:hAnsi="Century Schoolbook" w:cs="Times New Roman"/>
          <w:sz w:val="24"/>
          <w:szCs w:val="24"/>
        </w:rPr>
        <w:t xml:space="preserve"> of </w:t>
      </w:r>
      <w:r w:rsidR="007505F0">
        <w:rPr>
          <w:rFonts w:ascii="Century Schoolbook" w:hAnsi="Century Schoolbook" w:cs="Times New Roman"/>
          <w:sz w:val="24"/>
          <w:szCs w:val="24"/>
        </w:rPr>
        <w:t>unlawful ‘unauthorised expenditure’</w:t>
      </w:r>
      <w:r w:rsidR="008F395C" w:rsidRPr="006C6879">
        <w:rPr>
          <w:rFonts w:ascii="Century Schoolbook" w:hAnsi="Century Schoolbook" w:cs="Times New Roman"/>
          <w:sz w:val="24"/>
          <w:szCs w:val="24"/>
        </w:rPr>
        <w:t>:</w:t>
      </w:r>
    </w:p>
    <w:p w:rsidR="008F395C" w:rsidRPr="006C6879" w:rsidRDefault="008F395C" w:rsidP="008F395C">
      <w:pPr>
        <w:pStyle w:val="ListParagraph"/>
        <w:tabs>
          <w:tab w:val="left" w:pos="284"/>
        </w:tabs>
        <w:spacing w:line="360" w:lineRule="auto"/>
        <w:contextualSpacing w:val="0"/>
        <w:rPr>
          <w:rFonts w:ascii="Century Schoolbook" w:hAnsi="Century Schoolbook" w:cs="Times New Roman"/>
          <w:sz w:val="24"/>
          <w:szCs w:val="24"/>
        </w:rPr>
      </w:pPr>
      <w:r w:rsidRPr="006C6879">
        <w:rPr>
          <w:rFonts w:ascii="Century Schoolbook" w:hAnsi="Century Schoolbook" w:cs="Times New Roman"/>
          <w:sz w:val="24"/>
          <w:szCs w:val="24"/>
        </w:rPr>
        <w:t>[T]he definition of unauthorised expenditure is ... also not spending according to the programme description of the specific department. … The Minister [of a Department</w:t>
      </w:r>
      <w:r w:rsidR="007505F0">
        <w:rPr>
          <w:rFonts w:ascii="Century Schoolbook" w:hAnsi="Century Schoolbook" w:cs="Times New Roman"/>
          <w:sz w:val="24"/>
          <w:szCs w:val="24"/>
        </w:rPr>
        <w:t>;</w:t>
      </w:r>
      <w:r w:rsidRPr="006C6879">
        <w:rPr>
          <w:rFonts w:ascii="Century Schoolbook" w:hAnsi="Century Schoolbook" w:cs="Times New Roman"/>
          <w:sz w:val="24"/>
          <w:szCs w:val="24"/>
        </w:rPr>
        <w:t xml:space="preserve"> or</w:t>
      </w:r>
      <w:r w:rsidR="007505F0">
        <w:rPr>
          <w:rFonts w:ascii="Century Schoolbook" w:hAnsi="Century Schoolbook" w:cs="Times New Roman"/>
          <w:sz w:val="24"/>
          <w:szCs w:val="24"/>
        </w:rPr>
        <w:t>,</w:t>
      </w:r>
      <w:r w:rsidRPr="006C6879">
        <w:rPr>
          <w:rFonts w:ascii="Century Schoolbook" w:hAnsi="Century Schoolbook" w:cs="Times New Roman"/>
          <w:sz w:val="24"/>
          <w:szCs w:val="24"/>
        </w:rPr>
        <w:t xml:space="preserve"> in the case of a public entity</w:t>
      </w:r>
      <w:r w:rsidR="007505F0">
        <w:rPr>
          <w:rFonts w:ascii="Century Schoolbook" w:hAnsi="Century Schoolbook" w:cs="Times New Roman"/>
          <w:sz w:val="24"/>
          <w:szCs w:val="24"/>
        </w:rPr>
        <w:t>,</w:t>
      </w:r>
      <w:r w:rsidRPr="006C6879">
        <w:rPr>
          <w:rFonts w:ascii="Century Schoolbook" w:hAnsi="Century Schoolbook" w:cs="Times New Roman"/>
          <w:sz w:val="24"/>
          <w:szCs w:val="24"/>
        </w:rPr>
        <w:t xml:space="preserve"> its Board</w:t>
      </w:r>
      <w:r w:rsidR="007505F0">
        <w:rPr>
          <w:rFonts w:ascii="Century Schoolbook" w:hAnsi="Century Schoolbook" w:cs="Times New Roman"/>
          <w:sz w:val="24"/>
          <w:szCs w:val="24"/>
        </w:rPr>
        <w:t xml:space="preserve"> as accounting authority</w:t>
      </w:r>
      <w:r w:rsidRPr="006C6879">
        <w:rPr>
          <w:rFonts w:ascii="Century Schoolbook" w:hAnsi="Century Schoolbook" w:cs="Times New Roman"/>
          <w:sz w:val="24"/>
          <w:szCs w:val="24"/>
        </w:rPr>
        <w:t>]</w:t>
      </w:r>
      <w:r w:rsidR="007505F0">
        <w:rPr>
          <w:rStyle w:val="FootnoteReference"/>
          <w:rFonts w:ascii="Century Schoolbook" w:hAnsi="Century Schoolbook" w:cs="Times New Roman"/>
          <w:sz w:val="24"/>
          <w:szCs w:val="24"/>
        </w:rPr>
        <w:footnoteReference w:id="139"/>
      </w:r>
      <w:r w:rsidRPr="006C6879">
        <w:rPr>
          <w:rFonts w:ascii="Century Schoolbook" w:hAnsi="Century Schoolbook" w:cs="Times New Roman"/>
          <w:sz w:val="24"/>
          <w:szCs w:val="24"/>
        </w:rPr>
        <w:t xml:space="preserve"> must ensure budget is spent in accordance with the original budget plan. … [N]o one is allowed to have unauthorised expenditure. ... National Treasury ... will ... follow up should there be any indication of</w:t>
      </w:r>
      <w:r w:rsidR="00E93CF4">
        <w:rPr>
          <w:rFonts w:ascii="Century Schoolbook" w:hAnsi="Century Schoolbook" w:cs="Times New Roman"/>
          <w:sz w:val="24"/>
          <w:szCs w:val="24"/>
        </w:rPr>
        <w:t xml:space="preserve"> </w:t>
      </w:r>
      <w:r w:rsidRPr="006C6879">
        <w:rPr>
          <w:rFonts w:ascii="Century Schoolbook" w:hAnsi="Century Schoolbook" w:cs="Times New Roman"/>
          <w:sz w:val="24"/>
          <w:szCs w:val="24"/>
        </w:rPr>
        <w:t>... underexpenditure.</w:t>
      </w:r>
      <w:r w:rsidR="00DE4150" w:rsidRPr="006C6879">
        <w:rPr>
          <w:rFonts w:ascii="Century Schoolbook" w:hAnsi="Century Schoolbook" w:cs="Times New Roman"/>
          <w:sz w:val="24"/>
          <w:szCs w:val="24"/>
          <w:vertAlign w:val="superscript"/>
        </w:rPr>
        <w:footnoteReference w:id="140"/>
      </w:r>
    </w:p>
    <w:p w:rsidR="003C0641" w:rsidRPr="006C6879" w:rsidRDefault="008F395C" w:rsidP="00812431">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lastRenderedPageBreak/>
        <w:t>When a</w:t>
      </w:r>
      <w:r w:rsidR="00281B43" w:rsidRPr="00281B43">
        <w:rPr>
          <w:rFonts w:ascii="Century Schoolbook" w:hAnsi="Century Schoolbook" w:cs="Times New Roman"/>
          <w:sz w:val="24"/>
          <w:szCs w:val="24"/>
        </w:rPr>
        <w:t xml:space="preserve"> </w:t>
      </w:r>
      <w:r w:rsidR="00281B43" w:rsidRPr="006C6879">
        <w:rPr>
          <w:rFonts w:ascii="Century Schoolbook" w:hAnsi="Century Schoolbook" w:cs="Times New Roman"/>
          <w:sz w:val="24"/>
          <w:szCs w:val="24"/>
        </w:rPr>
        <w:t>member</w:t>
      </w:r>
      <w:r w:rsidR="00281B43">
        <w:rPr>
          <w:rFonts w:ascii="Century Schoolbook" w:hAnsi="Century Schoolbook" w:cs="Times New Roman"/>
          <w:sz w:val="24"/>
          <w:szCs w:val="24"/>
        </w:rPr>
        <w:t xml:space="preserve"> of the</w:t>
      </w:r>
      <w:r w:rsidRPr="006C6879">
        <w:rPr>
          <w:rFonts w:ascii="Century Schoolbook" w:hAnsi="Century Schoolbook" w:cs="Times New Roman"/>
          <w:sz w:val="24"/>
          <w:szCs w:val="24"/>
        </w:rPr>
        <w:t xml:space="preserve"> Portfolio Committee </w:t>
      </w:r>
      <w:r w:rsidR="00344014">
        <w:rPr>
          <w:rFonts w:ascii="Century Schoolbook" w:hAnsi="Century Schoolbook" w:cs="Times New Roman"/>
          <w:sz w:val="24"/>
          <w:szCs w:val="24"/>
        </w:rPr>
        <w:t>deplored</w:t>
      </w:r>
      <w:r w:rsidRPr="006C6879">
        <w:rPr>
          <w:rFonts w:ascii="Century Schoolbook" w:hAnsi="Century Schoolbook" w:cs="Times New Roman"/>
          <w:sz w:val="24"/>
          <w:szCs w:val="24"/>
        </w:rPr>
        <w:t xml:space="preserve"> that ‘there are a few departments that repeatedly engage in underspending. This results in poor delivery’</w:t>
      </w:r>
      <w:r w:rsidR="00344014">
        <w:rPr>
          <w:rFonts w:ascii="Century Schoolbook" w:hAnsi="Century Schoolbook" w:cs="Times New Roman"/>
          <w:sz w:val="24"/>
          <w:szCs w:val="24"/>
        </w:rPr>
        <w:t>,</w:t>
      </w:r>
      <w:r w:rsidRPr="006C6879">
        <w:rPr>
          <w:rFonts w:ascii="Century Schoolbook" w:hAnsi="Century Schoolbook" w:cs="Times New Roman"/>
          <w:sz w:val="24"/>
          <w:szCs w:val="24"/>
        </w:rPr>
        <w:t xml:space="preserve"> and</w:t>
      </w:r>
      <w:r w:rsidR="00281B43">
        <w:rPr>
          <w:rFonts w:ascii="Century Schoolbook" w:hAnsi="Century Schoolbook" w:cs="Times New Roman"/>
          <w:sz w:val="24"/>
          <w:szCs w:val="24"/>
        </w:rPr>
        <w:t xml:space="preserve"> he</w:t>
      </w:r>
      <w:r w:rsidRPr="006C6879">
        <w:rPr>
          <w:rFonts w:ascii="Century Schoolbook" w:hAnsi="Century Schoolbook" w:cs="Times New Roman"/>
          <w:sz w:val="24"/>
          <w:szCs w:val="24"/>
        </w:rPr>
        <w:t xml:space="preserve"> ‘asked how the Act addresses this situation for the people on the ground who are suffering’, the Treasury representative re</w:t>
      </w:r>
      <w:r w:rsidR="00332111">
        <w:rPr>
          <w:rFonts w:ascii="Century Schoolbook" w:hAnsi="Century Schoolbook" w:cs="Times New Roman"/>
          <w:sz w:val="24"/>
          <w:szCs w:val="24"/>
        </w:rPr>
        <w:t>spond</w:t>
      </w:r>
      <w:r w:rsidRPr="006C6879">
        <w:rPr>
          <w:rFonts w:ascii="Century Schoolbook" w:hAnsi="Century Schoolbook" w:cs="Times New Roman"/>
          <w:sz w:val="24"/>
          <w:szCs w:val="24"/>
        </w:rPr>
        <w:t>ed: ‘The Minister must ensure that the budget is spent in accordance with the original budget plan. ... Should there be any underexpenditure, the Minister must report to the Cabinet.’</w:t>
      </w:r>
      <w:r w:rsidR="00DE4150">
        <w:rPr>
          <w:rStyle w:val="FootnoteReference"/>
          <w:rFonts w:ascii="Century Schoolbook" w:hAnsi="Century Schoolbook" w:cs="Times New Roman"/>
          <w:sz w:val="24"/>
          <w:szCs w:val="24"/>
        </w:rPr>
        <w:footnoteReference w:id="141"/>
      </w:r>
      <w:r w:rsidRPr="006C6879">
        <w:rPr>
          <w:rFonts w:ascii="Century Schoolbook" w:hAnsi="Century Schoolbook" w:cs="Times New Roman"/>
          <w:sz w:val="24"/>
          <w:szCs w:val="24"/>
        </w:rPr>
        <w:t xml:space="preserve"> </w:t>
      </w:r>
    </w:p>
    <w:p w:rsidR="00A670AA" w:rsidRDefault="008F395C" w:rsidP="00A670A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LASA isn’t a department of state, but the point</w:t>
      </w:r>
      <w:r w:rsidR="00567EB7">
        <w:rPr>
          <w:rFonts w:ascii="Century Schoolbook" w:hAnsi="Century Schoolbook" w:cs="Times New Roman"/>
          <w:sz w:val="24"/>
          <w:szCs w:val="24"/>
        </w:rPr>
        <w:t xml:space="preserve"> i</w:t>
      </w:r>
      <w:r w:rsidR="00DB5887">
        <w:rPr>
          <w:rFonts w:ascii="Century Schoolbook" w:hAnsi="Century Schoolbook" w:cs="Times New Roman"/>
          <w:sz w:val="24"/>
          <w:szCs w:val="24"/>
        </w:rPr>
        <w:t>s</w:t>
      </w:r>
      <w:r w:rsidRPr="006C6879">
        <w:rPr>
          <w:rFonts w:ascii="Century Schoolbook" w:hAnsi="Century Schoolbook" w:cs="Times New Roman"/>
          <w:sz w:val="24"/>
          <w:szCs w:val="24"/>
        </w:rPr>
        <w:t xml:space="preserve"> the same: ‘underexpenditure’ by a public entity </w:t>
      </w:r>
      <w:r w:rsidR="006E1FB4">
        <w:rPr>
          <w:rFonts w:ascii="Century Schoolbook" w:hAnsi="Century Schoolbook" w:cs="Times New Roman"/>
          <w:sz w:val="24"/>
          <w:szCs w:val="24"/>
        </w:rPr>
        <w:t xml:space="preserve">like LASA </w:t>
      </w:r>
      <w:r w:rsidRPr="006C6879">
        <w:rPr>
          <w:rFonts w:ascii="Century Schoolbook" w:hAnsi="Century Schoolbook" w:cs="Times New Roman"/>
          <w:sz w:val="24"/>
          <w:szCs w:val="24"/>
        </w:rPr>
        <w:t xml:space="preserve">and </w:t>
      </w:r>
      <w:r w:rsidR="007505F0">
        <w:rPr>
          <w:rFonts w:ascii="Century Schoolbook" w:hAnsi="Century Schoolbook" w:cs="Times New Roman"/>
          <w:sz w:val="24"/>
          <w:szCs w:val="24"/>
        </w:rPr>
        <w:t xml:space="preserve">the </w:t>
      </w:r>
      <w:r w:rsidRPr="006C6879">
        <w:rPr>
          <w:rFonts w:ascii="Century Schoolbook" w:hAnsi="Century Schoolbook" w:cs="Times New Roman"/>
          <w:sz w:val="24"/>
          <w:szCs w:val="24"/>
        </w:rPr>
        <w:t xml:space="preserve">failure </w:t>
      </w:r>
      <w:r w:rsidR="007505F0">
        <w:rPr>
          <w:rFonts w:ascii="Century Schoolbook" w:hAnsi="Century Schoolbook" w:cs="Times New Roman"/>
          <w:sz w:val="24"/>
          <w:szCs w:val="24"/>
        </w:rPr>
        <w:t xml:space="preserve">of its Board </w:t>
      </w:r>
      <w:r w:rsidRPr="006C6879">
        <w:rPr>
          <w:rFonts w:ascii="Century Schoolbook" w:hAnsi="Century Schoolbook" w:cs="Times New Roman"/>
          <w:sz w:val="24"/>
          <w:szCs w:val="24"/>
        </w:rPr>
        <w:t>to ‘ensure that budget is spent in accordance with the original budget plan’</w:t>
      </w:r>
      <w:r w:rsidR="007401C8">
        <w:rPr>
          <w:rFonts w:ascii="Century Schoolbook" w:hAnsi="Century Schoolbook" w:cs="Times New Roman"/>
          <w:sz w:val="24"/>
          <w:szCs w:val="24"/>
        </w:rPr>
        <w:t xml:space="preserve"> is</w:t>
      </w:r>
      <w:r w:rsidR="007401C8" w:rsidRPr="006C6879">
        <w:rPr>
          <w:rFonts w:ascii="Century Schoolbook" w:hAnsi="Century Schoolbook" w:cs="Times New Roman"/>
          <w:sz w:val="24"/>
          <w:szCs w:val="24"/>
        </w:rPr>
        <w:t xml:space="preserve"> extraordinarily serious</w:t>
      </w:r>
      <w:r w:rsidR="007401C8">
        <w:rPr>
          <w:rFonts w:ascii="Century Schoolbook" w:hAnsi="Century Schoolbook" w:cs="Times New Roman"/>
          <w:sz w:val="24"/>
          <w:szCs w:val="24"/>
        </w:rPr>
        <w:t xml:space="preserve">; indeed, shown below, it </w:t>
      </w:r>
      <w:r w:rsidR="00632F65">
        <w:rPr>
          <w:rFonts w:ascii="Century Schoolbook" w:hAnsi="Century Schoolbook" w:cs="Times New Roman"/>
          <w:sz w:val="24"/>
          <w:szCs w:val="24"/>
        </w:rPr>
        <w:t>constitutes</w:t>
      </w:r>
      <w:r w:rsidR="00632F65" w:rsidRPr="006C6879">
        <w:rPr>
          <w:rFonts w:ascii="Century Schoolbook" w:hAnsi="Century Schoolbook" w:cs="Times New Roman"/>
          <w:sz w:val="24"/>
          <w:szCs w:val="24"/>
        </w:rPr>
        <w:t xml:space="preserve"> </w:t>
      </w:r>
      <w:r w:rsidR="00632F65">
        <w:rPr>
          <w:rFonts w:ascii="Century Schoolbook" w:hAnsi="Century Schoolbook" w:cs="Times New Roman"/>
          <w:sz w:val="24"/>
          <w:szCs w:val="24"/>
        </w:rPr>
        <w:t xml:space="preserve">financial misconduct and </w:t>
      </w:r>
      <w:r w:rsidR="00936FDC">
        <w:rPr>
          <w:rFonts w:ascii="Century Schoolbook" w:hAnsi="Century Schoolbook" w:cs="Times New Roman"/>
          <w:sz w:val="24"/>
          <w:szCs w:val="24"/>
        </w:rPr>
        <w:t xml:space="preserve">a </w:t>
      </w:r>
      <w:r w:rsidR="007401C8">
        <w:rPr>
          <w:rFonts w:ascii="Century Schoolbook" w:hAnsi="Century Schoolbook" w:cs="Times New Roman"/>
          <w:sz w:val="24"/>
          <w:szCs w:val="24"/>
        </w:rPr>
        <w:t xml:space="preserve">breach </w:t>
      </w:r>
      <w:r w:rsidR="007401C8" w:rsidRPr="006C6879">
        <w:rPr>
          <w:rFonts w:ascii="Century Schoolbook" w:hAnsi="Century Schoolbook" w:cs="Times New Roman"/>
          <w:sz w:val="24"/>
          <w:szCs w:val="24"/>
        </w:rPr>
        <w:t>the PFMA</w:t>
      </w:r>
      <w:r w:rsidR="003E3B44">
        <w:rPr>
          <w:rFonts w:ascii="Century Schoolbook" w:hAnsi="Century Schoolbook" w:cs="Times New Roman"/>
          <w:sz w:val="24"/>
          <w:szCs w:val="24"/>
        </w:rPr>
        <w:t>. A</w:t>
      </w:r>
      <w:r w:rsidR="007401C8">
        <w:rPr>
          <w:rFonts w:ascii="Century Schoolbook" w:hAnsi="Century Schoolbook" w:cs="Times New Roman"/>
          <w:sz w:val="24"/>
          <w:szCs w:val="24"/>
        </w:rPr>
        <w:t>ggravat</w:t>
      </w:r>
      <w:r w:rsidR="003E3B44">
        <w:rPr>
          <w:rFonts w:ascii="Century Schoolbook" w:hAnsi="Century Schoolbook" w:cs="Times New Roman"/>
          <w:sz w:val="24"/>
          <w:szCs w:val="24"/>
        </w:rPr>
        <w:t>ing this</w:t>
      </w:r>
      <w:r w:rsidR="003E3B44" w:rsidRPr="003E3B44">
        <w:rPr>
          <w:rFonts w:ascii="Century Schoolbook" w:hAnsi="Century Schoolbook" w:cs="Times New Roman"/>
          <w:sz w:val="24"/>
          <w:szCs w:val="24"/>
        </w:rPr>
        <w:t xml:space="preserve"> </w:t>
      </w:r>
      <w:r w:rsidR="003E3B44">
        <w:rPr>
          <w:rFonts w:ascii="Century Schoolbook" w:hAnsi="Century Schoolbook" w:cs="Times New Roman"/>
          <w:sz w:val="24"/>
          <w:szCs w:val="24"/>
        </w:rPr>
        <w:t>particular case,</w:t>
      </w:r>
      <w:r w:rsidR="007401C8">
        <w:rPr>
          <w:rFonts w:ascii="Century Schoolbook" w:hAnsi="Century Schoolbook" w:cs="Times New Roman"/>
          <w:sz w:val="24"/>
          <w:szCs w:val="24"/>
        </w:rPr>
        <w:t xml:space="preserve"> it</w:t>
      </w:r>
      <w:r w:rsidRPr="006C6879">
        <w:rPr>
          <w:rFonts w:ascii="Century Schoolbook" w:hAnsi="Century Schoolbook" w:cs="Times New Roman"/>
          <w:sz w:val="24"/>
          <w:szCs w:val="24"/>
        </w:rPr>
        <w:t xml:space="preserve"> ‘results in poor delivery’ and ‘people on the ground who are suffering’</w:t>
      </w:r>
      <w:r w:rsidR="006E1FB4">
        <w:rPr>
          <w:rFonts w:ascii="Century Schoolbook" w:hAnsi="Century Schoolbook" w:cs="Times New Roman"/>
          <w:sz w:val="24"/>
          <w:szCs w:val="24"/>
        </w:rPr>
        <w:t xml:space="preserve">, </w:t>
      </w:r>
      <w:r w:rsidR="003E3B44">
        <w:rPr>
          <w:rFonts w:ascii="Century Schoolbook" w:hAnsi="Century Schoolbook" w:cs="Times New Roman"/>
          <w:sz w:val="24"/>
          <w:szCs w:val="24"/>
        </w:rPr>
        <w:t>namely</w:t>
      </w:r>
      <w:r w:rsidRPr="006C6879">
        <w:rPr>
          <w:rFonts w:ascii="Century Schoolbook" w:hAnsi="Century Schoolbook" w:cs="Times New Roman"/>
          <w:sz w:val="24"/>
          <w:szCs w:val="24"/>
        </w:rPr>
        <w:t xml:space="preserve"> the indigent </w:t>
      </w:r>
      <w:r w:rsidR="002F2889">
        <w:rPr>
          <w:rFonts w:ascii="Century Schoolbook" w:hAnsi="Century Schoolbook" w:cs="Times New Roman"/>
          <w:sz w:val="24"/>
          <w:szCs w:val="24"/>
        </w:rPr>
        <w:t>in KwaZulu-Natal completely</w:t>
      </w:r>
      <w:r w:rsidR="003E3B44">
        <w:rPr>
          <w:rFonts w:ascii="Century Schoolbook" w:hAnsi="Century Schoolbook" w:cs="Times New Roman"/>
          <w:sz w:val="24"/>
          <w:szCs w:val="24"/>
        </w:rPr>
        <w:t xml:space="preserve"> deprived</w:t>
      </w:r>
      <w:r w:rsidR="00281B43">
        <w:rPr>
          <w:rFonts w:ascii="Century Schoolbook" w:hAnsi="Century Schoolbook" w:cs="Times New Roman"/>
          <w:sz w:val="24"/>
          <w:szCs w:val="24"/>
        </w:rPr>
        <w:t>,</w:t>
      </w:r>
      <w:r w:rsidR="00936FDC">
        <w:rPr>
          <w:rFonts w:ascii="Century Schoolbook" w:hAnsi="Century Schoolbook" w:cs="Times New Roman"/>
          <w:sz w:val="24"/>
          <w:szCs w:val="24"/>
        </w:rPr>
        <w:t xml:space="preserve"> </w:t>
      </w:r>
      <w:r w:rsidR="00DB5887">
        <w:rPr>
          <w:rFonts w:ascii="Century Schoolbook" w:hAnsi="Century Schoolbook" w:cs="Times New Roman"/>
          <w:sz w:val="24"/>
          <w:szCs w:val="24"/>
        </w:rPr>
        <w:t>and in the Eastern Cape substantially deprived</w:t>
      </w:r>
      <w:r w:rsidR="00281B43">
        <w:rPr>
          <w:rFonts w:ascii="Century Schoolbook" w:hAnsi="Century Schoolbook" w:cs="Times New Roman"/>
          <w:sz w:val="24"/>
          <w:szCs w:val="24"/>
        </w:rPr>
        <w:t>,</w:t>
      </w:r>
      <w:r w:rsidRPr="006C6879">
        <w:rPr>
          <w:rFonts w:ascii="Century Schoolbook" w:hAnsi="Century Schoolbook" w:cs="Times New Roman"/>
          <w:sz w:val="24"/>
          <w:szCs w:val="24"/>
        </w:rPr>
        <w:t xml:space="preserve"> of </w:t>
      </w:r>
      <w:r w:rsidR="002F2889">
        <w:rPr>
          <w:rFonts w:ascii="Century Schoolbook" w:hAnsi="Century Schoolbook" w:cs="Times New Roman"/>
          <w:sz w:val="24"/>
          <w:szCs w:val="24"/>
        </w:rPr>
        <w:t xml:space="preserve">access to </w:t>
      </w:r>
      <w:r w:rsidR="002F2889" w:rsidRPr="006C6879">
        <w:rPr>
          <w:rFonts w:ascii="Century Schoolbook" w:hAnsi="Century Schoolbook" w:cs="Times New Roman"/>
          <w:sz w:val="24"/>
          <w:szCs w:val="24"/>
        </w:rPr>
        <w:t xml:space="preserve">complex constitutional and other </w:t>
      </w:r>
      <w:r w:rsidR="00A03014">
        <w:rPr>
          <w:rFonts w:ascii="Century Schoolbook" w:hAnsi="Century Schoolbook" w:cs="Times New Roman"/>
          <w:sz w:val="24"/>
          <w:szCs w:val="24"/>
        </w:rPr>
        <w:t>specialist</w:t>
      </w:r>
      <w:r w:rsidR="002F2889" w:rsidRPr="006C6879">
        <w:rPr>
          <w:rFonts w:ascii="Century Schoolbook" w:hAnsi="Century Schoolbook" w:cs="Times New Roman"/>
          <w:sz w:val="24"/>
          <w:szCs w:val="24"/>
        </w:rPr>
        <w:t xml:space="preserve"> litigation services</w:t>
      </w:r>
      <w:r w:rsidR="002F2889">
        <w:rPr>
          <w:rFonts w:ascii="Century Schoolbook" w:hAnsi="Century Schoolbook" w:cs="Times New Roman"/>
          <w:sz w:val="24"/>
          <w:szCs w:val="24"/>
        </w:rPr>
        <w:t xml:space="preserve"> </w:t>
      </w:r>
      <w:r w:rsidR="006E1FB4">
        <w:rPr>
          <w:rFonts w:ascii="Century Schoolbook" w:hAnsi="Century Schoolbook" w:cs="Times New Roman"/>
          <w:sz w:val="24"/>
          <w:szCs w:val="24"/>
        </w:rPr>
        <w:t xml:space="preserve">pertinently </w:t>
      </w:r>
      <w:r w:rsidR="00936FDC">
        <w:rPr>
          <w:rFonts w:ascii="Century Schoolbook" w:hAnsi="Century Schoolbook" w:cs="Times New Roman"/>
          <w:sz w:val="24"/>
          <w:szCs w:val="24"/>
        </w:rPr>
        <w:t>envisaged by</w:t>
      </w:r>
      <w:r w:rsidR="00DB5887">
        <w:rPr>
          <w:rFonts w:ascii="Century Schoolbook" w:hAnsi="Century Schoolbook" w:cs="Times New Roman"/>
          <w:sz w:val="24"/>
          <w:szCs w:val="24"/>
        </w:rPr>
        <w:t xml:space="preserve"> LASA’s Strategic Plan 2009–12</w:t>
      </w:r>
      <w:r w:rsidR="00A03014">
        <w:rPr>
          <w:rFonts w:ascii="Century Schoolbook" w:hAnsi="Century Schoolbook" w:cs="Times New Roman"/>
          <w:sz w:val="24"/>
          <w:szCs w:val="24"/>
        </w:rPr>
        <w:t xml:space="preserve"> and the two plans following it</w:t>
      </w:r>
      <w:r w:rsidR="00632F65">
        <w:rPr>
          <w:rFonts w:ascii="Century Schoolbook" w:hAnsi="Century Schoolbook" w:cs="Times New Roman"/>
          <w:sz w:val="24"/>
          <w:szCs w:val="24"/>
        </w:rPr>
        <w:t xml:space="preserve">. </w:t>
      </w:r>
      <w:r w:rsidR="00936FDC">
        <w:rPr>
          <w:rFonts w:ascii="Century Schoolbook" w:hAnsi="Century Schoolbook" w:cs="Times New Roman"/>
          <w:sz w:val="24"/>
          <w:szCs w:val="24"/>
        </w:rPr>
        <w:t>The effect of</w:t>
      </w:r>
      <w:r w:rsidR="00632F65">
        <w:rPr>
          <w:rFonts w:ascii="Century Schoolbook" w:hAnsi="Century Schoolbook" w:cs="Times New Roman"/>
          <w:sz w:val="24"/>
          <w:szCs w:val="24"/>
        </w:rPr>
        <w:t xml:space="preserve"> this unlawful underexpenditure</w:t>
      </w:r>
      <w:r w:rsidR="006E1FB4">
        <w:rPr>
          <w:rFonts w:ascii="Century Schoolbook" w:hAnsi="Century Schoolbook" w:cs="Times New Roman"/>
          <w:sz w:val="24"/>
          <w:szCs w:val="24"/>
        </w:rPr>
        <w:t>,</w:t>
      </w:r>
      <w:r w:rsidR="006E1FB4" w:rsidRPr="006E1FB4">
        <w:rPr>
          <w:rFonts w:ascii="Century Schoolbook" w:hAnsi="Century Schoolbook" w:cs="Times New Roman"/>
          <w:sz w:val="24"/>
          <w:szCs w:val="24"/>
        </w:rPr>
        <w:t xml:space="preserve"> </w:t>
      </w:r>
      <w:r w:rsidR="006E1FB4">
        <w:rPr>
          <w:rFonts w:ascii="Century Schoolbook" w:hAnsi="Century Schoolbook" w:cs="Times New Roman"/>
          <w:sz w:val="24"/>
          <w:szCs w:val="24"/>
        </w:rPr>
        <w:t>as a result of corruption in LASA’s top governing and executive ranks,</w:t>
      </w:r>
      <w:r w:rsidR="00632F65" w:rsidRPr="00632F65">
        <w:rPr>
          <w:rFonts w:ascii="Century Schoolbook" w:hAnsi="Century Schoolbook" w:cs="Times New Roman"/>
          <w:sz w:val="24"/>
          <w:szCs w:val="24"/>
        </w:rPr>
        <w:t xml:space="preserve"> </w:t>
      </w:r>
      <w:r w:rsidR="00936FDC">
        <w:rPr>
          <w:rFonts w:ascii="Century Schoolbook" w:hAnsi="Century Schoolbook" w:cs="Times New Roman"/>
          <w:sz w:val="24"/>
          <w:szCs w:val="24"/>
        </w:rPr>
        <w:t xml:space="preserve">is that </w:t>
      </w:r>
      <w:r w:rsidR="00632F65">
        <w:rPr>
          <w:rFonts w:ascii="Century Schoolbook" w:hAnsi="Century Schoolbook" w:cs="Times New Roman"/>
          <w:sz w:val="24"/>
          <w:szCs w:val="24"/>
        </w:rPr>
        <w:t xml:space="preserve">these </w:t>
      </w:r>
      <w:r w:rsidR="00632F65" w:rsidRPr="006C6879">
        <w:rPr>
          <w:rFonts w:ascii="Century Schoolbook" w:hAnsi="Century Schoolbook" w:cs="Times New Roman"/>
          <w:sz w:val="24"/>
          <w:szCs w:val="24"/>
        </w:rPr>
        <w:t>‘people on the ground</w:t>
      </w:r>
      <w:r w:rsidR="00632F65">
        <w:rPr>
          <w:rFonts w:ascii="Century Schoolbook" w:hAnsi="Century Schoolbook" w:cs="Times New Roman"/>
          <w:sz w:val="24"/>
          <w:szCs w:val="24"/>
        </w:rPr>
        <w:t xml:space="preserve"> ... </w:t>
      </w:r>
      <w:r w:rsidR="006E1FB4">
        <w:rPr>
          <w:rFonts w:ascii="Century Schoolbook" w:hAnsi="Century Schoolbook" w:cs="Times New Roman"/>
          <w:sz w:val="24"/>
          <w:szCs w:val="24"/>
        </w:rPr>
        <w:t xml:space="preserve">are </w:t>
      </w:r>
      <w:r w:rsidR="00632F65" w:rsidRPr="006C6879">
        <w:rPr>
          <w:rFonts w:ascii="Century Schoolbook" w:hAnsi="Century Schoolbook" w:cs="Times New Roman"/>
          <w:sz w:val="24"/>
          <w:szCs w:val="24"/>
        </w:rPr>
        <w:t>suffering’</w:t>
      </w:r>
      <w:r w:rsidR="00632F65">
        <w:rPr>
          <w:rFonts w:ascii="Century Schoolbook" w:hAnsi="Century Schoolbook" w:cs="Times New Roman"/>
          <w:sz w:val="24"/>
          <w:szCs w:val="24"/>
        </w:rPr>
        <w:t xml:space="preserve"> from ‘poor delivery’ of </w:t>
      </w:r>
      <w:r w:rsidR="00A547E1">
        <w:rPr>
          <w:rFonts w:ascii="Century Schoolbook" w:hAnsi="Century Schoolbook" w:cs="Times New Roman"/>
          <w:sz w:val="24"/>
          <w:szCs w:val="24"/>
        </w:rPr>
        <w:t xml:space="preserve">expert </w:t>
      </w:r>
      <w:r w:rsidR="00632F65">
        <w:rPr>
          <w:rFonts w:ascii="Century Schoolbook" w:hAnsi="Century Schoolbook" w:cs="Times New Roman"/>
          <w:sz w:val="24"/>
          <w:szCs w:val="24"/>
        </w:rPr>
        <w:t>legal services</w:t>
      </w:r>
      <w:r w:rsidR="006E1FB4">
        <w:rPr>
          <w:rFonts w:ascii="Century Schoolbook" w:hAnsi="Century Schoolbook" w:cs="Times New Roman"/>
          <w:sz w:val="24"/>
          <w:szCs w:val="24"/>
        </w:rPr>
        <w:t xml:space="preserve">, despite financial provision for them in LASA’s </w:t>
      </w:r>
      <w:r w:rsidR="00572E82">
        <w:rPr>
          <w:rFonts w:ascii="Century Schoolbook" w:hAnsi="Century Schoolbook" w:cs="Times New Roman"/>
          <w:sz w:val="24"/>
          <w:szCs w:val="24"/>
        </w:rPr>
        <w:t xml:space="preserve">annual </w:t>
      </w:r>
      <w:r w:rsidR="006E1FB4">
        <w:rPr>
          <w:rFonts w:ascii="Century Schoolbook" w:hAnsi="Century Schoolbook" w:cs="Times New Roman"/>
          <w:sz w:val="24"/>
          <w:szCs w:val="24"/>
        </w:rPr>
        <w:t xml:space="preserve">budgets, met by the Treasury. </w:t>
      </w:r>
      <w:r w:rsidR="00E97592" w:rsidRPr="00E97592">
        <w:rPr>
          <w:rFonts w:ascii="Century Schoolbook" w:hAnsi="Century Schoolbook" w:cs="Times New Roman"/>
          <w:sz w:val="24"/>
          <w:szCs w:val="24"/>
        </w:rPr>
        <w:t>Causing substantial harm to ... the general public’ (per the definition of</w:t>
      </w:r>
      <w:r w:rsidR="00E97592">
        <w:rPr>
          <w:rFonts w:ascii="Century Schoolbook" w:hAnsi="Century Schoolbook" w:cs="Times New Roman"/>
          <w:sz w:val="24"/>
          <w:szCs w:val="24"/>
        </w:rPr>
        <w:t xml:space="preserve"> ‘</w:t>
      </w:r>
      <w:r w:rsidR="00E97592" w:rsidRPr="00E97592">
        <w:rPr>
          <w:rFonts w:ascii="Century Schoolbook" w:hAnsi="Century Schoolbook" w:cs="Times New Roman"/>
          <w:sz w:val="24"/>
          <w:szCs w:val="24"/>
        </w:rPr>
        <w:t>material irregularity</w:t>
      </w:r>
      <w:r w:rsidR="00E97592">
        <w:rPr>
          <w:rFonts w:ascii="Century Schoolbook" w:hAnsi="Century Schoolbook" w:cs="Times New Roman"/>
          <w:sz w:val="24"/>
          <w:szCs w:val="24"/>
        </w:rPr>
        <w:t>’</w:t>
      </w:r>
      <w:r w:rsidR="00E97592" w:rsidRPr="00E97592">
        <w:rPr>
          <w:rFonts w:ascii="Century Schoolbook" w:hAnsi="Century Schoolbook" w:cs="Times New Roman"/>
          <w:sz w:val="24"/>
          <w:szCs w:val="24"/>
        </w:rPr>
        <w:t xml:space="preserve"> in section 1 of the PAA), </w:t>
      </w:r>
      <w:r w:rsidR="006E1FB4">
        <w:rPr>
          <w:rFonts w:ascii="Century Schoolbook" w:hAnsi="Century Schoolbook" w:cs="Times New Roman"/>
          <w:sz w:val="24"/>
          <w:szCs w:val="24"/>
        </w:rPr>
        <w:t xml:space="preserve">LASA’s corrupt </w:t>
      </w:r>
      <w:r w:rsidR="00281B43">
        <w:rPr>
          <w:rFonts w:ascii="Century Schoolbook" w:hAnsi="Century Schoolbook" w:cs="Times New Roman"/>
          <w:sz w:val="24"/>
          <w:szCs w:val="24"/>
        </w:rPr>
        <w:t xml:space="preserve">and complicit </w:t>
      </w:r>
      <w:r w:rsidR="006E1FB4">
        <w:rPr>
          <w:rFonts w:ascii="Century Schoolbook" w:hAnsi="Century Schoolbook" w:cs="Times New Roman"/>
          <w:sz w:val="24"/>
          <w:szCs w:val="24"/>
        </w:rPr>
        <w:t xml:space="preserve">officers named </w:t>
      </w:r>
      <w:r w:rsidR="00281B43">
        <w:rPr>
          <w:rFonts w:ascii="Century Schoolbook" w:hAnsi="Century Schoolbook" w:cs="Times New Roman"/>
          <w:sz w:val="24"/>
          <w:szCs w:val="24"/>
        </w:rPr>
        <w:t xml:space="preserve">paragraphs 6 and 7 of </w:t>
      </w:r>
      <w:r w:rsidR="006E1FB4">
        <w:rPr>
          <w:rFonts w:ascii="Century Schoolbook" w:hAnsi="Century Schoolbook" w:cs="Times New Roman"/>
          <w:sz w:val="24"/>
          <w:szCs w:val="24"/>
        </w:rPr>
        <w:t xml:space="preserve">this complaint have </w:t>
      </w:r>
      <w:r w:rsidR="00572E82">
        <w:rPr>
          <w:rFonts w:ascii="Century Schoolbook" w:hAnsi="Century Schoolbook" w:cs="Times New Roman"/>
          <w:sz w:val="24"/>
          <w:szCs w:val="24"/>
        </w:rPr>
        <w:t xml:space="preserve">effectively </w:t>
      </w:r>
      <w:r w:rsidR="006E1FB4">
        <w:rPr>
          <w:rFonts w:ascii="Century Schoolbook" w:hAnsi="Century Schoolbook" w:cs="Times New Roman"/>
          <w:sz w:val="24"/>
          <w:szCs w:val="24"/>
        </w:rPr>
        <w:t>denied any hope of ‘social justice’</w:t>
      </w:r>
      <w:r w:rsidR="006E1FB4">
        <w:rPr>
          <w:rStyle w:val="FootnoteReference"/>
          <w:rFonts w:ascii="Century Schoolbook" w:hAnsi="Century Schoolbook" w:cs="Times New Roman"/>
          <w:sz w:val="24"/>
          <w:szCs w:val="24"/>
        </w:rPr>
        <w:footnoteReference w:id="142"/>
      </w:r>
      <w:r w:rsidR="006E1FB4">
        <w:rPr>
          <w:rFonts w:ascii="Century Schoolbook" w:hAnsi="Century Schoolbook" w:cs="Times New Roman"/>
          <w:sz w:val="24"/>
          <w:szCs w:val="24"/>
        </w:rPr>
        <w:t xml:space="preserve"> to these </w:t>
      </w:r>
      <w:r w:rsidR="006E1FB4" w:rsidRPr="006C6879">
        <w:rPr>
          <w:rFonts w:ascii="Century Schoolbook" w:hAnsi="Century Schoolbook" w:cs="Times New Roman"/>
          <w:sz w:val="24"/>
          <w:szCs w:val="24"/>
        </w:rPr>
        <w:t>‘people on the ground</w:t>
      </w:r>
      <w:r w:rsidR="006E1FB4">
        <w:rPr>
          <w:rFonts w:ascii="Century Schoolbook" w:hAnsi="Century Schoolbook" w:cs="Times New Roman"/>
          <w:sz w:val="24"/>
          <w:szCs w:val="24"/>
        </w:rPr>
        <w:t xml:space="preserve"> who are </w:t>
      </w:r>
      <w:r w:rsidR="006E1FB4" w:rsidRPr="006C6879">
        <w:rPr>
          <w:rFonts w:ascii="Century Schoolbook" w:hAnsi="Century Schoolbook" w:cs="Times New Roman"/>
          <w:sz w:val="24"/>
          <w:szCs w:val="24"/>
        </w:rPr>
        <w:t>suffering’</w:t>
      </w:r>
      <w:r w:rsidR="006E1FB4" w:rsidRPr="006E1FB4">
        <w:rPr>
          <w:rFonts w:ascii="Century Schoolbook" w:hAnsi="Century Schoolbook" w:cs="Times New Roman"/>
          <w:sz w:val="24"/>
          <w:szCs w:val="24"/>
        </w:rPr>
        <w:t xml:space="preserve"> </w:t>
      </w:r>
      <w:r w:rsidR="006E1FB4">
        <w:rPr>
          <w:rFonts w:ascii="Century Schoolbook" w:hAnsi="Century Schoolbook" w:cs="Times New Roman"/>
          <w:sz w:val="24"/>
          <w:szCs w:val="24"/>
        </w:rPr>
        <w:t>when their ‘Constitutional rights and socio</w:t>
      </w:r>
      <w:r w:rsidR="00572E82">
        <w:rPr>
          <w:rFonts w:ascii="Century Schoolbook" w:hAnsi="Century Schoolbook" w:cs="Times New Roman"/>
          <w:sz w:val="24"/>
          <w:szCs w:val="24"/>
        </w:rPr>
        <w:noBreakHyphen/>
      </w:r>
      <w:r w:rsidR="006E1FB4">
        <w:rPr>
          <w:rFonts w:ascii="Century Schoolbook" w:hAnsi="Century Schoolbook" w:cs="Times New Roman"/>
          <w:sz w:val="24"/>
          <w:szCs w:val="24"/>
        </w:rPr>
        <w:t>economic rights’</w:t>
      </w:r>
      <w:r w:rsidR="006E1FB4">
        <w:rPr>
          <w:rStyle w:val="FootnoteReference"/>
          <w:rFonts w:ascii="Century Schoolbook" w:hAnsi="Century Schoolbook" w:cs="Times New Roman"/>
          <w:sz w:val="24"/>
          <w:szCs w:val="24"/>
        </w:rPr>
        <w:footnoteReference w:id="143"/>
      </w:r>
      <w:r w:rsidR="006E1FB4">
        <w:rPr>
          <w:rFonts w:ascii="Century Schoolbook" w:hAnsi="Century Schoolbook" w:cs="Times New Roman"/>
          <w:sz w:val="24"/>
          <w:szCs w:val="24"/>
        </w:rPr>
        <w:t xml:space="preserve"> are violated, </w:t>
      </w:r>
      <w:r w:rsidR="003E3B44">
        <w:rPr>
          <w:rFonts w:ascii="Century Schoolbook" w:hAnsi="Century Schoolbook" w:cs="Times New Roman"/>
          <w:sz w:val="24"/>
          <w:szCs w:val="24"/>
        </w:rPr>
        <w:t xml:space="preserve">inasmuch as </w:t>
      </w:r>
      <w:r w:rsidR="006E1FB4">
        <w:rPr>
          <w:rFonts w:ascii="Century Schoolbook" w:hAnsi="Century Schoolbook" w:cs="Times New Roman"/>
          <w:sz w:val="24"/>
          <w:szCs w:val="24"/>
        </w:rPr>
        <w:t>their state-funded access to the courts, which they can’t themselves afford</w:t>
      </w:r>
      <w:r w:rsidR="00BA02F2">
        <w:rPr>
          <w:rFonts w:ascii="Century Schoolbook" w:hAnsi="Century Schoolbook" w:cs="Times New Roman"/>
          <w:sz w:val="24"/>
          <w:szCs w:val="24"/>
        </w:rPr>
        <w:t>,</w:t>
      </w:r>
      <w:r w:rsidR="006E1FB4">
        <w:rPr>
          <w:rFonts w:ascii="Century Schoolbook" w:hAnsi="Century Schoolbook" w:cs="Times New Roman"/>
          <w:sz w:val="24"/>
          <w:szCs w:val="24"/>
        </w:rPr>
        <w:t xml:space="preserve"> </w:t>
      </w:r>
      <w:r w:rsidR="00BA02F2">
        <w:rPr>
          <w:rFonts w:ascii="Century Schoolbook" w:hAnsi="Century Schoolbook" w:cs="Times New Roman"/>
          <w:sz w:val="24"/>
          <w:szCs w:val="24"/>
        </w:rPr>
        <w:t xml:space="preserve">has been </w:t>
      </w:r>
      <w:r w:rsidR="003E3B44">
        <w:rPr>
          <w:rFonts w:ascii="Century Schoolbook" w:hAnsi="Century Schoolbook" w:cs="Times New Roman"/>
          <w:sz w:val="24"/>
          <w:szCs w:val="24"/>
        </w:rPr>
        <w:t>practically blocked</w:t>
      </w:r>
      <w:r w:rsidR="00BA02F2">
        <w:rPr>
          <w:rFonts w:ascii="Century Schoolbook" w:hAnsi="Century Schoolbook" w:cs="Times New Roman"/>
          <w:sz w:val="24"/>
          <w:szCs w:val="24"/>
        </w:rPr>
        <w:t xml:space="preserve"> in furtherance of a cynical corruption cover-up</w:t>
      </w:r>
      <w:r w:rsidR="007401C8">
        <w:rPr>
          <w:rFonts w:ascii="Century Schoolbook" w:hAnsi="Century Schoolbook" w:cs="Times New Roman"/>
          <w:sz w:val="24"/>
          <w:szCs w:val="24"/>
        </w:rPr>
        <w:t>.</w:t>
      </w:r>
    </w:p>
    <w:p w:rsidR="00797B67" w:rsidRPr="00163322" w:rsidRDefault="00797B67" w:rsidP="00797B67">
      <w:pPr>
        <w:pStyle w:val="ListParagraph"/>
        <w:numPr>
          <w:ilvl w:val="0"/>
          <w:numId w:val="1"/>
        </w:numPr>
        <w:tabs>
          <w:tab w:val="left" w:pos="284"/>
          <w:tab w:val="left" w:pos="426"/>
        </w:tabs>
        <w:spacing w:line="360" w:lineRule="auto"/>
        <w:ind w:left="0" w:firstLine="0"/>
        <w:contextualSpacing w:val="0"/>
        <w:rPr>
          <w:rFonts w:ascii="Century Schoolbook" w:hAnsi="Century Schoolbook" w:cs="Calibri"/>
          <w:color w:val="222222"/>
          <w:sz w:val="24"/>
          <w:szCs w:val="24"/>
          <w:shd w:val="clear" w:color="auto" w:fill="FFFFFF"/>
        </w:rPr>
      </w:pPr>
      <w:r w:rsidRPr="00163322">
        <w:rPr>
          <w:rFonts w:ascii="Century Schoolbook" w:hAnsi="Century Schoolbook" w:cs="Calibri"/>
          <w:color w:val="000000" w:themeColor="text1"/>
          <w:sz w:val="24"/>
          <w:szCs w:val="24"/>
        </w:rPr>
        <w:lastRenderedPageBreak/>
        <w:t>Under section 1 of the PFMA, ‘</w:t>
      </w:r>
      <w:r w:rsidRPr="00163322">
        <w:rPr>
          <w:rFonts w:ascii="Century Schoolbook" w:hAnsi="Century Schoolbook" w:cs="Calibri"/>
          <w:b/>
          <w:color w:val="000000" w:themeColor="text1"/>
          <w:sz w:val="24"/>
          <w:szCs w:val="24"/>
        </w:rPr>
        <w:t>“accounting authority”</w:t>
      </w:r>
      <w:r w:rsidRPr="00163322">
        <w:rPr>
          <w:rFonts w:ascii="Century Schoolbook" w:hAnsi="Century Schoolbook" w:cs="Calibri"/>
          <w:color w:val="000000" w:themeColor="text1"/>
          <w:sz w:val="24"/>
          <w:szCs w:val="24"/>
        </w:rPr>
        <w:t xml:space="preserve"> means a body or person mentioned in section 49’</w:t>
      </w:r>
      <w:r w:rsidR="005836E0">
        <w:rPr>
          <w:rFonts w:ascii="Century Schoolbook" w:hAnsi="Century Schoolbook" w:cs="Calibri"/>
          <w:color w:val="000000" w:themeColor="text1"/>
          <w:sz w:val="24"/>
          <w:szCs w:val="24"/>
        </w:rPr>
        <w:t>, w</w:t>
      </w:r>
      <w:r>
        <w:rPr>
          <w:rFonts w:ascii="Century Schoolbook" w:hAnsi="Century Schoolbook" w:cs="Calibri"/>
          <w:color w:val="000000" w:themeColor="text1"/>
          <w:sz w:val="24"/>
          <w:szCs w:val="24"/>
        </w:rPr>
        <w:t>hich</w:t>
      </w:r>
      <w:r w:rsidRPr="00163322">
        <w:rPr>
          <w:rFonts w:ascii="Century Schoolbook" w:hAnsi="Century Schoolbook" w:cs="Calibri"/>
          <w:color w:val="000000" w:themeColor="text1"/>
          <w:sz w:val="24"/>
          <w:szCs w:val="24"/>
        </w:rPr>
        <w:t xml:space="preserve"> section provides:</w:t>
      </w:r>
    </w:p>
    <w:p w:rsidR="00797B67" w:rsidRPr="001F2835" w:rsidRDefault="00797B67" w:rsidP="00797B67">
      <w:pPr>
        <w:pStyle w:val="ListParagraph"/>
        <w:tabs>
          <w:tab w:val="left" w:pos="284"/>
          <w:tab w:val="left" w:pos="426"/>
        </w:tabs>
        <w:spacing w:line="360" w:lineRule="auto"/>
        <w:ind w:left="1134" w:hanging="425"/>
        <w:contextualSpacing w:val="0"/>
        <w:rPr>
          <w:rFonts w:ascii="Century Schoolbook" w:hAnsi="Century Schoolbook" w:cs="Calibri"/>
          <w:color w:val="000000" w:themeColor="text1"/>
          <w:sz w:val="24"/>
          <w:szCs w:val="24"/>
        </w:rPr>
      </w:pPr>
      <w:r w:rsidRPr="001F2835">
        <w:rPr>
          <w:rFonts w:ascii="Century Schoolbook" w:hAnsi="Century Schoolbook" w:cs="Calibri"/>
          <w:color w:val="000000" w:themeColor="text1"/>
          <w:sz w:val="24"/>
          <w:szCs w:val="24"/>
        </w:rPr>
        <w:t>(1) Every public entity must have an authority which must be accountable for the purposes of this Act.</w:t>
      </w:r>
    </w:p>
    <w:p w:rsidR="00797B67" w:rsidRPr="001F2835" w:rsidRDefault="00DE4150" w:rsidP="00797B67">
      <w:pPr>
        <w:pStyle w:val="ListParagraph"/>
        <w:tabs>
          <w:tab w:val="left" w:pos="284"/>
          <w:tab w:val="left" w:pos="426"/>
        </w:tabs>
        <w:spacing w:line="360" w:lineRule="auto"/>
        <w:contextualSpacing w:val="0"/>
        <w:rPr>
          <w:rFonts w:ascii="Century Schoolbook" w:hAnsi="Century Schoolbook" w:cs="Calibri"/>
          <w:color w:val="000000" w:themeColor="text1"/>
          <w:sz w:val="24"/>
          <w:szCs w:val="24"/>
        </w:rPr>
      </w:pPr>
      <w:r>
        <w:rPr>
          <w:rFonts w:ascii="Century Schoolbook" w:hAnsi="Century Schoolbook" w:cs="Calibri"/>
          <w:color w:val="000000" w:themeColor="text1"/>
          <w:sz w:val="24"/>
          <w:szCs w:val="24"/>
        </w:rPr>
        <w:t>(2) If the public entity–</w:t>
      </w:r>
    </w:p>
    <w:p w:rsidR="00797B67" w:rsidRPr="001F2835" w:rsidRDefault="00797B67" w:rsidP="00797B67">
      <w:pPr>
        <w:pStyle w:val="ListParagraph"/>
        <w:tabs>
          <w:tab w:val="left" w:pos="284"/>
          <w:tab w:val="left" w:pos="426"/>
        </w:tabs>
        <w:spacing w:line="360" w:lineRule="auto"/>
        <w:ind w:left="1134"/>
        <w:contextualSpacing w:val="0"/>
        <w:rPr>
          <w:rFonts w:ascii="Century Schoolbook" w:hAnsi="Century Schoolbook" w:cs="Calibri"/>
          <w:color w:val="000000" w:themeColor="text1"/>
          <w:sz w:val="24"/>
          <w:szCs w:val="24"/>
        </w:rPr>
      </w:pPr>
      <w:r w:rsidRPr="001F2835">
        <w:rPr>
          <w:rFonts w:ascii="Century Schoolbook" w:hAnsi="Century Schoolbook" w:cs="Calibri"/>
          <w:color w:val="000000" w:themeColor="text1"/>
          <w:sz w:val="24"/>
          <w:szCs w:val="24"/>
        </w:rPr>
        <w:t>(a) has a board or other controlling body, that board or controlling body is the accounting authority for that entity[.]</w:t>
      </w:r>
    </w:p>
    <w:p w:rsidR="00797B67" w:rsidRDefault="00797B67" w:rsidP="00797B67">
      <w:pPr>
        <w:pStyle w:val="ListParagraph"/>
        <w:numPr>
          <w:ilvl w:val="0"/>
          <w:numId w:val="1"/>
        </w:numPr>
        <w:tabs>
          <w:tab w:val="left" w:pos="284"/>
          <w:tab w:val="left" w:pos="426"/>
        </w:tabs>
        <w:spacing w:line="360" w:lineRule="auto"/>
        <w:ind w:left="0" w:firstLine="0"/>
        <w:contextualSpacing w:val="0"/>
        <w:rPr>
          <w:rFonts w:ascii="Century Schoolbook" w:hAnsi="Century Schoolbook" w:cs="Calibri"/>
          <w:color w:val="222222"/>
          <w:sz w:val="24"/>
          <w:szCs w:val="24"/>
          <w:shd w:val="clear" w:color="auto" w:fill="FFFFFF"/>
        </w:rPr>
      </w:pPr>
      <w:r w:rsidRPr="008116FF">
        <w:rPr>
          <w:rFonts w:ascii="Century Schoolbook" w:hAnsi="Century Schoolbook" w:cs="Calibri"/>
          <w:color w:val="000000" w:themeColor="text1"/>
          <w:sz w:val="24"/>
          <w:szCs w:val="24"/>
        </w:rPr>
        <w:t>Section 56(1)(a) of the PFMA provides: ‘The accounting authority for a public entity may ... in writing delegate any of the powers entrusted or delegated to the accounting authority in terms of this Act, to an official in that public entity’</w:t>
      </w:r>
      <w:r w:rsidR="009F5129">
        <w:rPr>
          <w:rFonts w:ascii="Century Schoolbook" w:hAnsi="Century Schoolbook" w:cs="Calibri"/>
          <w:color w:val="000000" w:themeColor="text1"/>
          <w:sz w:val="24"/>
          <w:szCs w:val="24"/>
        </w:rPr>
        <w:t>; and a</w:t>
      </w:r>
      <w:r w:rsidR="00344014">
        <w:rPr>
          <w:rFonts w:ascii="Century Schoolbook" w:hAnsi="Century Schoolbook" w:cs="Calibri"/>
          <w:color w:val="000000" w:themeColor="text1"/>
          <w:sz w:val="24"/>
          <w:szCs w:val="24"/>
        </w:rPr>
        <w:t>ccordingly</w:t>
      </w:r>
      <w:r w:rsidR="006A74F1">
        <w:rPr>
          <w:rFonts w:ascii="Century Schoolbook" w:hAnsi="Century Schoolbook" w:cs="Calibri"/>
          <w:color w:val="000000" w:themeColor="text1"/>
          <w:sz w:val="24"/>
          <w:szCs w:val="24"/>
        </w:rPr>
        <w:t xml:space="preserve"> o</w:t>
      </w:r>
      <w:r w:rsidR="00884CD3">
        <w:rPr>
          <w:rFonts w:ascii="Century Schoolbook" w:hAnsi="Century Schoolbook" w:cs="Calibri"/>
          <w:color w:val="000000" w:themeColor="text1"/>
          <w:sz w:val="24"/>
          <w:szCs w:val="24"/>
        </w:rPr>
        <w:t xml:space="preserve">n 24 November 2007 the </w:t>
      </w:r>
      <w:r w:rsidRPr="008116FF">
        <w:rPr>
          <w:rFonts w:ascii="Century Schoolbook" w:hAnsi="Century Schoolbook" w:cs="Calibri"/>
          <w:color w:val="000000" w:themeColor="text1"/>
          <w:sz w:val="24"/>
          <w:szCs w:val="24"/>
        </w:rPr>
        <w:t xml:space="preserve">Board </w:t>
      </w:r>
      <w:r w:rsidR="000828E8">
        <w:rPr>
          <w:rFonts w:ascii="Century Schoolbook" w:hAnsi="Century Schoolbook" w:cs="Calibri"/>
          <w:color w:val="000000" w:themeColor="text1"/>
          <w:sz w:val="24"/>
          <w:szCs w:val="24"/>
        </w:rPr>
        <w:t xml:space="preserve">as </w:t>
      </w:r>
      <w:r w:rsidR="00A547E1">
        <w:rPr>
          <w:rFonts w:ascii="Century Schoolbook" w:hAnsi="Century Schoolbook" w:cs="Calibri"/>
          <w:color w:val="000000" w:themeColor="text1"/>
          <w:sz w:val="24"/>
          <w:szCs w:val="24"/>
        </w:rPr>
        <w:t xml:space="preserve">LASA’s </w:t>
      </w:r>
      <w:r w:rsidR="000828E8">
        <w:rPr>
          <w:rFonts w:ascii="Century Schoolbook" w:hAnsi="Century Schoolbook" w:cs="Calibri"/>
          <w:color w:val="000000" w:themeColor="text1"/>
          <w:sz w:val="24"/>
          <w:szCs w:val="24"/>
        </w:rPr>
        <w:t xml:space="preserve">accounting authority </w:t>
      </w:r>
      <w:r w:rsidRPr="008116FF">
        <w:rPr>
          <w:rFonts w:ascii="Century Schoolbook" w:hAnsi="Century Schoolbook" w:cs="Calibri"/>
          <w:color w:val="000000" w:themeColor="text1"/>
          <w:sz w:val="24"/>
          <w:szCs w:val="24"/>
        </w:rPr>
        <w:t xml:space="preserve">duly </w:t>
      </w:r>
      <w:r w:rsidR="00884CD3">
        <w:rPr>
          <w:rFonts w:ascii="Century Schoolbook" w:hAnsi="Century Schoolbook" w:cs="Calibri"/>
          <w:color w:val="000000" w:themeColor="text1"/>
          <w:sz w:val="24"/>
          <w:szCs w:val="24"/>
        </w:rPr>
        <w:t>‘</w:t>
      </w:r>
      <w:r w:rsidRPr="008116FF">
        <w:rPr>
          <w:rFonts w:ascii="Century Schoolbook" w:hAnsi="Century Schoolbook" w:cs="Calibri"/>
          <w:color w:val="000000" w:themeColor="text1"/>
          <w:sz w:val="24"/>
          <w:szCs w:val="24"/>
        </w:rPr>
        <w:t>delegate</w:t>
      </w:r>
      <w:r w:rsidR="00884CD3">
        <w:rPr>
          <w:rFonts w:ascii="Century Schoolbook" w:hAnsi="Century Schoolbook" w:cs="Calibri"/>
          <w:color w:val="000000" w:themeColor="text1"/>
          <w:sz w:val="24"/>
          <w:szCs w:val="24"/>
        </w:rPr>
        <w:t>[</w:t>
      </w:r>
      <w:r w:rsidRPr="008116FF">
        <w:rPr>
          <w:rFonts w:ascii="Century Schoolbook" w:hAnsi="Century Schoolbook" w:cs="Calibri"/>
          <w:color w:val="000000" w:themeColor="text1"/>
          <w:sz w:val="24"/>
          <w:szCs w:val="24"/>
        </w:rPr>
        <w:t>d</w:t>
      </w:r>
      <w:r w:rsidR="00884CD3">
        <w:rPr>
          <w:rFonts w:ascii="Century Schoolbook" w:hAnsi="Century Schoolbook" w:cs="Calibri"/>
          <w:color w:val="000000" w:themeColor="text1"/>
          <w:sz w:val="24"/>
          <w:szCs w:val="24"/>
        </w:rPr>
        <w:t>]</w:t>
      </w:r>
      <w:r w:rsidR="00884CD3" w:rsidRPr="00884CD3">
        <w:rPr>
          <w:rFonts w:ascii="Century Schoolbook" w:hAnsi="Century Schoolbook" w:cs="Calibri"/>
          <w:color w:val="000000" w:themeColor="text1"/>
          <w:sz w:val="24"/>
          <w:szCs w:val="24"/>
        </w:rPr>
        <w:t xml:space="preserve"> </w:t>
      </w:r>
      <w:r w:rsidR="00884CD3" w:rsidRPr="008116FF">
        <w:rPr>
          <w:rFonts w:ascii="Century Schoolbook" w:hAnsi="Century Schoolbook" w:cs="Calibri"/>
          <w:color w:val="000000" w:themeColor="text1"/>
          <w:sz w:val="24"/>
          <w:szCs w:val="24"/>
        </w:rPr>
        <w:t xml:space="preserve">to </w:t>
      </w:r>
      <w:r w:rsidR="00884CD3">
        <w:rPr>
          <w:rFonts w:ascii="Century Schoolbook" w:hAnsi="Century Schoolbook" w:cs="Calibri"/>
          <w:color w:val="000000" w:themeColor="text1"/>
          <w:sz w:val="24"/>
          <w:szCs w:val="24"/>
        </w:rPr>
        <w:t>the Chief Executive Officer</w:t>
      </w:r>
      <w:r w:rsidR="006A74F1">
        <w:rPr>
          <w:rFonts w:ascii="Century Schoolbook" w:hAnsi="Century Schoolbook" w:cs="Calibri"/>
          <w:color w:val="000000" w:themeColor="text1"/>
          <w:sz w:val="24"/>
          <w:szCs w:val="24"/>
        </w:rPr>
        <w:t xml:space="preserve"> </w:t>
      </w:r>
      <w:r w:rsidR="00884CD3">
        <w:rPr>
          <w:rFonts w:ascii="Century Schoolbook" w:hAnsi="Century Schoolbook" w:cs="Calibri"/>
          <w:color w:val="000000" w:themeColor="text1"/>
          <w:sz w:val="24"/>
          <w:szCs w:val="24"/>
        </w:rPr>
        <w:t xml:space="preserve">all the </w:t>
      </w:r>
      <w:r w:rsidRPr="008116FF">
        <w:rPr>
          <w:rFonts w:ascii="Century Schoolbook" w:hAnsi="Century Schoolbook" w:cs="Calibri"/>
          <w:color w:val="000000" w:themeColor="text1"/>
          <w:sz w:val="24"/>
          <w:szCs w:val="24"/>
        </w:rPr>
        <w:t>powers entrusted or delegated to</w:t>
      </w:r>
      <w:r w:rsidR="00884CD3">
        <w:rPr>
          <w:rFonts w:ascii="Century Schoolbook" w:hAnsi="Century Schoolbook" w:cs="Calibri"/>
          <w:color w:val="000000" w:themeColor="text1"/>
          <w:sz w:val="24"/>
          <w:szCs w:val="24"/>
        </w:rPr>
        <w:t xml:space="preserve"> the accounting authority in terms of the Act</w:t>
      </w:r>
      <w:r w:rsidRPr="008116FF">
        <w:rPr>
          <w:rFonts w:ascii="Century Schoolbook" w:hAnsi="Century Schoolbook" w:cs="Calibri"/>
          <w:color w:val="000000" w:themeColor="text1"/>
          <w:sz w:val="24"/>
          <w:szCs w:val="24"/>
        </w:rPr>
        <w:t>’</w:t>
      </w:r>
      <w:r w:rsidR="00884CD3">
        <w:rPr>
          <w:rFonts w:ascii="Century Schoolbook" w:hAnsi="Century Schoolbook" w:cs="Calibri"/>
          <w:color w:val="000000" w:themeColor="text1"/>
          <w:sz w:val="24"/>
          <w:szCs w:val="24"/>
        </w:rPr>
        <w:t>.</w:t>
      </w:r>
      <w:r w:rsidR="00884CD3">
        <w:rPr>
          <w:rStyle w:val="FootnoteReference"/>
          <w:rFonts w:ascii="Century Schoolbook" w:hAnsi="Century Schoolbook" w:cs="Calibri"/>
          <w:color w:val="000000" w:themeColor="text1"/>
          <w:sz w:val="24"/>
          <w:szCs w:val="24"/>
        </w:rPr>
        <w:footnoteReference w:id="144"/>
      </w:r>
    </w:p>
    <w:p w:rsidR="00797B67" w:rsidRPr="008116FF" w:rsidRDefault="00797B67" w:rsidP="00797B67">
      <w:pPr>
        <w:pStyle w:val="ListParagraph"/>
        <w:numPr>
          <w:ilvl w:val="0"/>
          <w:numId w:val="1"/>
        </w:numPr>
        <w:tabs>
          <w:tab w:val="left" w:pos="284"/>
          <w:tab w:val="left" w:pos="426"/>
        </w:tabs>
        <w:spacing w:line="360" w:lineRule="auto"/>
        <w:ind w:left="0" w:firstLine="0"/>
        <w:contextualSpacing w:val="0"/>
        <w:rPr>
          <w:rFonts w:ascii="Century Schoolbook" w:hAnsi="Century Schoolbook" w:cs="Calibri"/>
          <w:color w:val="222222"/>
          <w:sz w:val="24"/>
          <w:szCs w:val="24"/>
          <w:shd w:val="clear" w:color="auto" w:fill="FFFFFF"/>
        </w:rPr>
      </w:pPr>
      <w:r>
        <w:rPr>
          <w:rFonts w:ascii="Century Schoolbook" w:hAnsi="Century Schoolbook" w:cs="Calibri"/>
          <w:color w:val="000000" w:themeColor="text1"/>
          <w:sz w:val="24"/>
          <w:szCs w:val="24"/>
        </w:rPr>
        <w:t>S</w:t>
      </w:r>
      <w:r w:rsidRPr="008116FF">
        <w:rPr>
          <w:rFonts w:ascii="Century Schoolbook" w:hAnsi="Century Schoolbook" w:cs="Calibri"/>
          <w:color w:val="000000" w:themeColor="text1"/>
          <w:sz w:val="24"/>
          <w:szCs w:val="24"/>
        </w:rPr>
        <w:t>ection 56(2)(c)</w:t>
      </w:r>
      <w:r w:rsidR="00281B43">
        <w:rPr>
          <w:rFonts w:ascii="Century Schoolbook" w:hAnsi="Century Schoolbook" w:cs="Calibri"/>
          <w:color w:val="000000" w:themeColor="text1"/>
          <w:sz w:val="24"/>
          <w:szCs w:val="24"/>
        </w:rPr>
        <w:t xml:space="preserve"> of the PFMA</w:t>
      </w:r>
      <w:r>
        <w:rPr>
          <w:rFonts w:ascii="Century Schoolbook" w:hAnsi="Century Schoolbook" w:cs="Calibri"/>
          <w:color w:val="000000" w:themeColor="text1"/>
          <w:sz w:val="24"/>
          <w:szCs w:val="24"/>
        </w:rPr>
        <w:t xml:space="preserve"> provides that the</w:t>
      </w:r>
      <w:r w:rsidRPr="008116FF">
        <w:rPr>
          <w:rFonts w:ascii="Century Schoolbook" w:hAnsi="Century Schoolbook" w:cs="Calibri"/>
          <w:color w:val="000000" w:themeColor="text1"/>
          <w:sz w:val="24"/>
          <w:szCs w:val="24"/>
        </w:rPr>
        <w:t xml:space="preserve"> delegation ‘does not divest the accounting authority of the responsibility concerning the exercise of the delegated power or the performance of the assigned duty.’ </w:t>
      </w:r>
      <w:r>
        <w:rPr>
          <w:rFonts w:ascii="Century Schoolbook" w:hAnsi="Century Schoolbook" w:cs="Calibri"/>
          <w:color w:val="000000" w:themeColor="text1"/>
          <w:sz w:val="24"/>
          <w:szCs w:val="24"/>
        </w:rPr>
        <w:t xml:space="preserve">That is, the Board remains ultimately responsible for ensuring that </w:t>
      </w:r>
      <w:r w:rsidR="002B5B54">
        <w:rPr>
          <w:rFonts w:ascii="Century Schoolbook" w:hAnsi="Century Schoolbook" w:cs="Calibri"/>
          <w:color w:val="000000" w:themeColor="text1"/>
          <w:sz w:val="24"/>
          <w:szCs w:val="24"/>
        </w:rPr>
        <w:t xml:space="preserve">the funds </w:t>
      </w:r>
      <w:r>
        <w:rPr>
          <w:rFonts w:ascii="Century Schoolbook" w:hAnsi="Century Schoolbook" w:cs="Calibri"/>
          <w:color w:val="000000" w:themeColor="text1"/>
          <w:sz w:val="24"/>
          <w:szCs w:val="24"/>
        </w:rPr>
        <w:t>LASA</w:t>
      </w:r>
      <w:r w:rsidR="002B5B54">
        <w:rPr>
          <w:rFonts w:ascii="Century Schoolbook" w:hAnsi="Century Schoolbook" w:cs="Calibri"/>
          <w:color w:val="000000" w:themeColor="text1"/>
          <w:sz w:val="24"/>
          <w:szCs w:val="24"/>
        </w:rPr>
        <w:t xml:space="preserve"> receives from the Treasury </w:t>
      </w:r>
      <w:r w:rsidR="00EC5A62">
        <w:rPr>
          <w:rFonts w:ascii="Century Schoolbook" w:hAnsi="Century Schoolbook" w:cs="Calibri"/>
          <w:color w:val="000000" w:themeColor="text1"/>
          <w:sz w:val="24"/>
          <w:szCs w:val="24"/>
        </w:rPr>
        <w:t>are</w:t>
      </w:r>
      <w:r w:rsidR="00C54FF1">
        <w:rPr>
          <w:rFonts w:ascii="Century Schoolbook" w:hAnsi="Century Schoolbook" w:cs="Calibri"/>
          <w:color w:val="000000" w:themeColor="text1"/>
          <w:sz w:val="24"/>
          <w:szCs w:val="24"/>
        </w:rPr>
        <w:t xml:space="preserve"> </w:t>
      </w:r>
      <w:r>
        <w:rPr>
          <w:rFonts w:ascii="Century Schoolbook" w:hAnsi="Century Schoolbook" w:cs="Calibri"/>
          <w:color w:val="000000" w:themeColor="text1"/>
          <w:sz w:val="24"/>
          <w:szCs w:val="24"/>
        </w:rPr>
        <w:t>spent as budgeted</w:t>
      </w:r>
      <w:r w:rsidR="0030365E">
        <w:rPr>
          <w:rFonts w:ascii="Century Schoolbook" w:hAnsi="Century Schoolbook" w:cs="Calibri"/>
          <w:color w:val="000000" w:themeColor="text1"/>
          <w:sz w:val="24"/>
          <w:szCs w:val="24"/>
        </w:rPr>
        <w:t>, recommended,</w:t>
      </w:r>
      <w:r>
        <w:rPr>
          <w:rFonts w:ascii="Century Schoolbook" w:hAnsi="Century Schoolbook" w:cs="Calibri"/>
          <w:color w:val="000000" w:themeColor="text1"/>
          <w:sz w:val="24"/>
          <w:szCs w:val="24"/>
        </w:rPr>
        <w:t xml:space="preserve"> </w:t>
      </w:r>
      <w:r w:rsidR="00C77AA9">
        <w:rPr>
          <w:rFonts w:ascii="Century Schoolbook" w:hAnsi="Century Schoolbook" w:cs="Calibri"/>
          <w:color w:val="000000" w:themeColor="text1"/>
          <w:sz w:val="24"/>
          <w:szCs w:val="24"/>
        </w:rPr>
        <w:t xml:space="preserve">and </w:t>
      </w:r>
      <w:r>
        <w:rPr>
          <w:rFonts w:ascii="Century Schoolbook" w:hAnsi="Century Schoolbook" w:cs="Calibri"/>
          <w:color w:val="000000" w:themeColor="text1"/>
          <w:sz w:val="24"/>
          <w:szCs w:val="24"/>
        </w:rPr>
        <w:t>approved.</w:t>
      </w:r>
    </w:p>
    <w:p w:rsidR="009510E4" w:rsidRDefault="009510E4" w:rsidP="00A670A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Section 53 of the PFMA prescribes:</w:t>
      </w:r>
    </w:p>
    <w:p w:rsidR="00054589" w:rsidRDefault="00054589" w:rsidP="00054589">
      <w:pPr>
        <w:pStyle w:val="ListParagraph"/>
        <w:tabs>
          <w:tab w:val="left" w:pos="284"/>
          <w:tab w:val="left" w:pos="426"/>
        </w:tabs>
        <w:spacing w:line="360" w:lineRule="auto"/>
        <w:ind w:left="0"/>
        <w:contextualSpacing w:val="0"/>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w:t>
      </w:r>
    </w:p>
    <w:p w:rsidR="00812431" w:rsidRDefault="00812431" w:rsidP="00812431">
      <w:pPr>
        <w:pStyle w:val="ListParagraph"/>
        <w:numPr>
          <w:ilvl w:val="0"/>
          <w:numId w:val="19"/>
        </w:numPr>
        <w:autoSpaceDE w:val="0"/>
        <w:autoSpaceDN w:val="0"/>
        <w:adjustRightInd w:val="0"/>
        <w:spacing w:line="360" w:lineRule="auto"/>
        <w:contextualSpacing w:val="0"/>
        <w:rPr>
          <w:rFonts w:ascii="Century Schoolbook" w:hAnsi="Century Schoolbook"/>
          <w:sz w:val="24"/>
          <w:szCs w:val="24"/>
          <w:shd w:val="clear" w:color="auto" w:fill="FFFFFF"/>
        </w:rPr>
      </w:pPr>
      <w:r w:rsidRPr="006C6879">
        <w:rPr>
          <w:rFonts w:ascii="Century Schoolbook" w:hAnsi="Century Schoolbook"/>
          <w:sz w:val="24"/>
          <w:szCs w:val="24"/>
          <w:shd w:val="clear" w:color="auto" w:fill="FFFFFF"/>
        </w:rPr>
        <w:t>A public entity which must submit a budget in terms of subsection (1), may not budget for a deficit and may not accumulate surpluses unless the prior written approval of the National Treasury has been obtained.</w:t>
      </w:r>
    </w:p>
    <w:p w:rsidR="00812431" w:rsidRPr="00812431" w:rsidRDefault="00812431" w:rsidP="00812431">
      <w:pPr>
        <w:pStyle w:val="ListParagraph"/>
        <w:numPr>
          <w:ilvl w:val="0"/>
          <w:numId w:val="19"/>
        </w:numPr>
        <w:autoSpaceDE w:val="0"/>
        <w:autoSpaceDN w:val="0"/>
        <w:adjustRightInd w:val="0"/>
        <w:spacing w:line="360" w:lineRule="auto"/>
        <w:contextualSpacing w:val="0"/>
        <w:rPr>
          <w:rFonts w:ascii="Century Schoolbook" w:hAnsi="Century Schoolbook"/>
          <w:sz w:val="24"/>
          <w:szCs w:val="24"/>
          <w:shd w:val="clear" w:color="auto" w:fill="FFFFFF"/>
        </w:rPr>
      </w:pPr>
      <w:r w:rsidRPr="00812431">
        <w:rPr>
          <w:rFonts w:ascii="Century Schoolbook" w:hAnsi="Century Schoolbook"/>
          <w:sz w:val="24"/>
          <w:szCs w:val="24"/>
          <w:shd w:val="clear" w:color="auto" w:fill="FFFFFF"/>
        </w:rPr>
        <w:t>The accounting authority for such a public entity is responsible for ensuring that expenditure of that public entity is in accordance with the approved budget.</w:t>
      </w:r>
    </w:p>
    <w:p w:rsidR="00DB5887" w:rsidRPr="00DB5887" w:rsidRDefault="00812431" w:rsidP="002F288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color w:val="222222"/>
          <w:sz w:val="24"/>
          <w:szCs w:val="24"/>
          <w:shd w:val="clear" w:color="auto" w:fill="FFFFFF"/>
        </w:rPr>
        <w:lastRenderedPageBreak/>
        <w:t xml:space="preserve">In contravention of section 53(3), </w:t>
      </w:r>
      <w:r w:rsidRPr="006C6879">
        <w:rPr>
          <w:rFonts w:ascii="Century Schoolbook" w:hAnsi="Century Schoolbook" w:cs="Times New Roman"/>
          <w:color w:val="222222"/>
          <w:sz w:val="24"/>
          <w:szCs w:val="24"/>
          <w:shd w:val="clear" w:color="auto" w:fill="FFFFFF"/>
        </w:rPr>
        <w:t>LASA has been engaging in unauthorised expenditure in the form of underexpenditure</w:t>
      </w:r>
      <w:r>
        <w:rPr>
          <w:rFonts w:ascii="Century Schoolbook" w:hAnsi="Century Schoolbook" w:cs="Times New Roman"/>
          <w:color w:val="222222"/>
          <w:sz w:val="24"/>
          <w:szCs w:val="24"/>
          <w:shd w:val="clear" w:color="auto" w:fill="FFFFFF"/>
        </w:rPr>
        <w:t>,</w:t>
      </w:r>
      <w:r w:rsidRPr="006C6879">
        <w:rPr>
          <w:rFonts w:ascii="Century Schoolbook" w:hAnsi="Century Schoolbook" w:cs="Times New Roman"/>
          <w:color w:val="222222"/>
          <w:sz w:val="24"/>
          <w:szCs w:val="24"/>
          <w:shd w:val="clear" w:color="auto" w:fill="FFFFFF"/>
        </w:rPr>
        <w:t xml:space="preserve"> and </w:t>
      </w:r>
      <w:r>
        <w:rPr>
          <w:rFonts w:ascii="Century Schoolbook" w:hAnsi="Century Schoolbook" w:cs="Times New Roman"/>
          <w:color w:val="222222"/>
          <w:sz w:val="24"/>
          <w:szCs w:val="24"/>
          <w:shd w:val="clear" w:color="auto" w:fill="FFFFFF"/>
        </w:rPr>
        <w:t xml:space="preserve">in this manner </w:t>
      </w:r>
      <w:r w:rsidRPr="006C6879">
        <w:rPr>
          <w:rFonts w:ascii="Century Schoolbook" w:hAnsi="Century Schoolbook" w:cs="Times New Roman"/>
          <w:color w:val="222222"/>
          <w:sz w:val="24"/>
          <w:szCs w:val="24"/>
          <w:shd w:val="clear" w:color="auto" w:fill="FFFFFF"/>
        </w:rPr>
        <w:t>accumulating millions of rands in unauthorised surplus</w:t>
      </w:r>
      <w:r w:rsidR="00567EB7">
        <w:rPr>
          <w:rFonts w:ascii="Century Schoolbook" w:hAnsi="Century Schoolbook" w:cs="Times New Roman"/>
          <w:color w:val="222222"/>
          <w:sz w:val="24"/>
          <w:szCs w:val="24"/>
          <w:shd w:val="clear" w:color="auto" w:fill="FFFFFF"/>
        </w:rPr>
        <w:t xml:space="preserve"> over the past decade</w:t>
      </w:r>
      <w:r>
        <w:rPr>
          <w:rFonts w:ascii="Century Schoolbook" w:hAnsi="Century Schoolbook" w:cs="Times New Roman"/>
          <w:color w:val="222222"/>
          <w:sz w:val="24"/>
          <w:szCs w:val="24"/>
          <w:shd w:val="clear" w:color="auto" w:fill="FFFFFF"/>
        </w:rPr>
        <w:t>, b</w:t>
      </w:r>
      <w:r w:rsidRPr="00812431">
        <w:rPr>
          <w:rFonts w:ascii="Century Schoolbook" w:hAnsi="Century Schoolbook" w:cs="Times New Roman"/>
          <w:color w:val="222222"/>
          <w:sz w:val="24"/>
          <w:szCs w:val="24"/>
          <w:shd w:val="clear" w:color="auto" w:fill="FFFFFF"/>
        </w:rPr>
        <w:t>y</w:t>
      </w:r>
      <w:r w:rsidRPr="006C6879">
        <w:rPr>
          <w:rFonts w:ascii="Century Schoolbook" w:hAnsi="Century Schoolbook" w:cs="Times New Roman"/>
          <w:color w:val="222222"/>
          <w:sz w:val="24"/>
          <w:szCs w:val="24"/>
          <w:shd w:val="clear" w:color="auto" w:fill="FFFFFF"/>
        </w:rPr>
        <w:t xml:space="preserve"> budgeting for nine Senior Litigator posts but only filling six of them with the salary budget received </w:t>
      </w:r>
      <w:r>
        <w:rPr>
          <w:rFonts w:ascii="Century Schoolbook" w:hAnsi="Century Schoolbook" w:cs="Times New Roman"/>
          <w:color w:val="222222"/>
          <w:sz w:val="24"/>
          <w:szCs w:val="24"/>
          <w:shd w:val="clear" w:color="auto" w:fill="FFFFFF"/>
        </w:rPr>
        <w:t>for them</w:t>
      </w:r>
      <w:r w:rsidR="00287C59">
        <w:rPr>
          <w:rFonts w:ascii="Century Schoolbook" w:hAnsi="Century Schoolbook" w:cs="Times New Roman"/>
          <w:color w:val="222222"/>
          <w:sz w:val="24"/>
          <w:szCs w:val="24"/>
          <w:shd w:val="clear" w:color="auto" w:fill="FFFFFF"/>
        </w:rPr>
        <w:t>,</w:t>
      </w:r>
      <w:r w:rsidRPr="006C6879">
        <w:rPr>
          <w:rFonts w:ascii="Century Schoolbook" w:hAnsi="Century Schoolbook" w:cs="Times New Roman"/>
          <w:color w:val="222222"/>
          <w:sz w:val="24"/>
          <w:szCs w:val="24"/>
          <w:shd w:val="clear" w:color="auto" w:fill="FFFFFF"/>
        </w:rPr>
        <w:t xml:space="preserve"> and</w:t>
      </w:r>
      <w:r w:rsidR="00210BE4">
        <w:rPr>
          <w:rFonts w:ascii="Century Schoolbook" w:hAnsi="Century Schoolbook" w:cs="Times New Roman"/>
          <w:color w:val="222222"/>
          <w:sz w:val="24"/>
          <w:szCs w:val="24"/>
          <w:shd w:val="clear" w:color="auto" w:fill="FFFFFF"/>
        </w:rPr>
        <w:t xml:space="preserve"> </w:t>
      </w:r>
      <w:r w:rsidRPr="006C6879">
        <w:rPr>
          <w:rFonts w:ascii="Century Schoolbook" w:hAnsi="Century Schoolbook" w:cs="Times New Roman"/>
          <w:color w:val="222222"/>
          <w:sz w:val="24"/>
          <w:szCs w:val="24"/>
          <w:shd w:val="clear" w:color="auto" w:fill="FFFFFF"/>
        </w:rPr>
        <w:t xml:space="preserve">deliberately not filling </w:t>
      </w:r>
      <w:r>
        <w:rPr>
          <w:rFonts w:ascii="Century Schoolbook" w:hAnsi="Century Schoolbook" w:cs="Times New Roman"/>
          <w:color w:val="222222"/>
          <w:sz w:val="24"/>
          <w:szCs w:val="24"/>
          <w:shd w:val="clear" w:color="auto" w:fill="FFFFFF"/>
        </w:rPr>
        <w:t>its</w:t>
      </w:r>
      <w:r w:rsidRPr="006C6879">
        <w:rPr>
          <w:rFonts w:ascii="Century Schoolbook" w:hAnsi="Century Schoolbook" w:cs="Times New Roman"/>
          <w:color w:val="222222"/>
          <w:sz w:val="24"/>
          <w:szCs w:val="24"/>
          <w:shd w:val="clear" w:color="auto" w:fill="FFFFFF"/>
        </w:rPr>
        <w:t xml:space="preserve"> remaining three vacant Senior Litigator posts</w:t>
      </w:r>
      <w:r w:rsidR="00A03014">
        <w:rPr>
          <w:rFonts w:ascii="Century Schoolbook" w:hAnsi="Century Schoolbook" w:cs="Times New Roman"/>
          <w:color w:val="222222"/>
          <w:sz w:val="24"/>
          <w:szCs w:val="24"/>
          <w:shd w:val="clear" w:color="auto" w:fill="FFFFFF"/>
        </w:rPr>
        <w:t xml:space="preserve"> – following a</w:t>
      </w:r>
      <w:r w:rsidR="009F41DB">
        <w:rPr>
          <w:rFonts w:ascii="Century Schoolbook" w:hAnsi="Century Schoolbook" w:cs="Times New Roman"/>
          <w:color w:val="222222"/>
          <w:sz w:val="24"/>
          <w:szCs w:val="24"/>
          <w:shd w:val="clear" w:color="auto" w:fill="FFFFFF"/>
        </w:rPr>
        <w:t>n</w:t>
      </w:r>
      <w:r w:rsidR="009F41DB" w:rsidRPr="009F41DB">
        <w:rPr>
          <w:rFonts w:ascii="Century Schoolbook" w:hAnsi="Century Schoolbook" w:cs="Times New Roman"/>
          <w:color w:val="222222"/>
          <w:sz w:val="24"/>
          <w:szCs w:val="24"/>
          <w:shd w:val="clear" w:color="auto" w:fill="FFFFFF"/>
        </w:rPr>
        <w:t xml:space="preserve"> </w:t>
      </w:r>
      <w:r w:rsidR="009F41DB">
        <w:rPr>
          <w:rFonts w:ascii="Century Schoolbook" w:hAnsi="Century Schoolbook" w:cs="Times New Roman"/>
          <w:color w:val="222222"/>
          <w:sz w:val="24"/>
          <w:szCs w:val="24"/>
          <w:shd w:val="clear" w:color="auto" w:fill="FFFFFF"/>
        </w:rPr>
        <w:t>unrecorded,</w:t>
      </w:r>
      <w:r w:rsidR="00344014">
        <w:rPr>
          <w:rFonts w:ascii="Century Schoolbook" w:hAnsi="Century Schoolbook" w:cs="Times New Roman"/>
          <w:color w:val="222222"/>
          <w:sz w:val="24"/>
          <w:szCs w:val="24"/>
          <w:shd w:val="clear" w:color="auto" w:fill="FFFFFF"/>
        </w:rPr>
        <w:t xml:space="preserve"> </w:t>
      </w:r>
      <w:r w:rsidR="00A03014">
        <w:rPr>
          <w:rFonts w:ascii="Century Schoolbook" w:hAnsi="Century Schoolbook" w:cs="Times New Roman"/>
          <w:color w:val="222222"/>
          <w:sz w:val="24"/>
          <w:szCs w:val="24"/>
          <w:shd w:val="clear" w:color="auto" w:fill="FFFFFF"/>
        </w:rPr>
        <w:t>unauthori</w:t>
      </w:r>
      <w:r w:rsidR="00762D1B">
        <w:rPr>
          <w:rFonts w:ascii="Century Schoolbook" w:hAnsi="Century Schoolbook" w:cs="Times New Roman"/>
          <w:color w:val="222222"/>
          <w:sz w:val="24"/>
          <w:szCs w:val="24"/>
          <w:shd w:val="clear" w:color="auto" w:fill="FFFFFF"/>
        </w:rPr>
        <w:t>s</w:t>
      </w:r>
      <w:r w:rsidR="00A03014">
        <w:rPr>
          <w:rFonts w:ascii="Century Schoolbook" w:hAnsi="Century Schoolbook" w:cs="Times New Roman"/>
          <w:color w:val="222222"/>
          <w:sz w:val="24"/>
          <w:szCs w:val="24"/>
          <w:shd w:val="clear" w:color="auto" w:fill="FFFFFF"/>
        </w:rPr>
        <w:t>ed, backroom decision</w:t>
      </w:r>
      <w:r w:rsidR="009F41DB">
        <w:rPr>
          <w:rFonts w:ascii="Century Schoolbook" w:hAnsi="Century Schoolbook" w:cs="Times New Roman"/>
          <w:color w:val="222222"/>
          <w:sz w:val="24"/>
          <w:szCs w:val="24"/>
          <w:shd w:val="clear" w:color="auto" w:fill="FFFFFF"/>
        </w:rPr>
        <w:t xml:space="preserve"> taken illegally </w:t>
      </w:r>
      <w:r w:rsidR="00A03014">
        <w:rPr>
          <w:rFonts w:ascii="Century Schoolbook" w:hAnsi="Century Schoolbook" w:cs="Times New Roman"/>
          <w:color w:val="222222"/>
          <w:sz w:val="24"/>
          <w:szCs w:val="24"/>
          <w:shd w:val="clear" w:color="auto" w:fill="FFFFFF"/>
        </w:rPr>
        <w:t>(</w:t>
      </w:r>
      <w:r w:rsidR="00287C59">
        <w:rPr>
          <w:rFonts w:ascii="Century Schoolbook" w:hAnsi="Century Schoolbook" w:cs="Times New Roman"/>
          <w:color w:val="222222"/>
          <w:sz w:val="24"/>
          <w:szCs w:val="24"/>
          <w:shd w:val="clear" w:color="auto" w:fill="FFFFFF"/>
        </w:rPr>
        <w:t>discussed</w:t>
      </w:r>
      <w:r w:rsidR="00A03014">
        <w:rPr>
          <w:rFonts w:ascii="Century Schoolbook" w:hAnsi="Century Schoolbook" w:cs="Times New Roman"/>
          <w:color w:val="222222"/>
          <w:sz w:val="24"/>
          <w:szCs w:val="24"/>
          <w:shd w:val="clear" w:color="auto" w:fill="FFFFFF"/>
        </w:rPr>
        <w:t xml:space="preserve"> below)</w:t>
      </w:r>
      <w:r w:rsidR="00DB5887">
        <w:rPr>
          <w:rFonts w:ascii="Century Schoolbook" w:hAnsi="Century Schoolbook" w:cs="Times New Roman"/>
          <w:color w:val="222222"/>
          <w:sz w:val="24"/>
          <w:szCs w:val="24"/>
          <w:shd w:val="clear" w:color="auto" w:fill="FFFFFF"/>
        </w:rPr>
        <w:t>.</w:t>
      </w:r>
    </w:p>
    <w:p w:rsidR="00A7420D" w:rsidRPr="006C6879" w:rsidRDefault="00797B67" w:rsidP="00A7420D">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sz w:val="24"/>
          <w:szCs w:val="24"/>
        </w:rPr>
        <w:t>T</w:t>
      </w:r>
      <w:r w:rsidRPr="006C6879">
        <w:rPr>
          <w:rFonts w:ascii="Century Schoolbook" w:hAnsi="Century Schoolbook" w:cs="Times New Roman"/>
          <w:sz w:val="24"/>
          <w:szCs w:val="24"/>
        </w:rPr>
        <w:t xml:space="preserve">he Constitutional Court </w:t>
      </w:r>
      <w:r w:rsidR="00955E36">
        <w:rPr>
          <w:rFonts w:ascii="Century Schoolbook" w:hAnsi="Century Schoolbook" w:cs="Times New Roman"/>
          <w:sz w:val="24"/>
          <w:szCs w:val="24"/>
        </w:rPr>
        <w:t xml:space="preserve">has </w:t>
      </w:r>
      <w:r w:rsidR="002B5B54">
        <w:rPr>
          <w:rFonts w:ascii="Century Schoolbook" w:hAnsi="Century Schoolbook" w:cs="Times New Roman"/>
          <w:sz w:val="24"/>
          <w:szCs w:val="24"/>
        </w:rPr>
        <w:t xml:space="preserve">unanimously </w:t>
      </w:r>
      <w:r>
        <w:rPr>
          <w:rFonts w:ascii="Century Schoolbook" w:hAnsi="Century Schoolbook" w:cs="Times New Roman"/>
          <w:sz w:val="24"/>
          <w:szCs w:val="24"/>
        </w:rPr>
        <w:t>affirm</w:t>
      </w:r>
      <w:r w:rsidRPr="006C6879">
        <w:rPr>
          <w:rFonts w:ascii="Century Schoolbook" w:hAnsi="Century Schoolbook" w:cs="Times New Roman"/>
          <w:sz w:val="24"/>
          <w:szCs w:val="24"/>
        </w:rPr>
        <w:t xml:space="preserve">ed </w:t>
      </w:r>
      <w:r w:rsidR="00A03014">
        <w:rPr>
          <w:rFonts w:ascii="Century Schoolbook" w:hAnsi="Century Schoolbook" w:cs="Times New Roman"/>
          <w:sz w:val="24"/>
          <w:szCs w:val="24"/>
        </w:rPr>
        <w:t>i</w:t>
      </w:r>
      <w:r w:rsidR="00A03014" w:rsidRPr="006C6879">
        <w:rPr>
          <w:rFonts w:ascii="Century Schoolbook" w:hAnsi="Century Schoolbook" w:cs="Times New Roman"/>
          <w:sz w:val="24"/>
          <w:szCs w:val="24"/>
        </w:rPr>
        <w:t xml:space="preserve">n </w:t>
      </w:r>
      <w:r w:rsidR="00A03014" w:rsidRPr="006C6879">
        <w:rPr>
          <w:rFonts w:ascii="Century Schoolbook" w:hAnsi="Century Schoolbook"/>
          <w:i/>
          <w:sz w:val="24"/>
          <w:szCs w:val="24"/>
        </w:rPr>
        <w:t xml:space="preserve">Sibongile Zungu v Premier of the Province of KwaZulu-Natal and Others </w:t>
      </w:r>
      <w:r w:rsidR="00A03014" w:rsidRPr="006C6879">
        <w:rPr>
          <w:rFonts w:ascii="Century Schoolbook" w:hAnsi="Century Schoolbook"/>
          <w:sz w:val="24"/>
          <w:szCs w:val="24"/>
        </w:rPr>
        <w:t>[2018] ZACC 1 (22 January 2018</w:t>
      </w:r>
      <w:r w:rsidR="00A03014">
        <w:rPr>
          <w:rFonts w:ascii="Century Schoolbook" w:hAnsi="Century Schoolbook"/>
          <w:sz w:val="24"/>
          <w:szCs w:val="24"/>
        </w:rPr>
        <w:t xml:space="preserve">) </w:t>
      </w:r>
      <w:r>
        <w:rPr>
          <w:rFonts w:ascii="Century Schoolbook" w:hAnsi="Century Schoolbook"/>
          <w:sz w:val="24"/>
          <w:szCs w:val="24"/>
        </w:rPr>
        <w:t>that</w:t>
      </w:r>
      <w:r w:rsidR="00A03014" w:rsidRPr="00A03014">
        <w:rPr>
          <w:rFonts w:ascii="Century Schoolbook" w:hAnsi="Century Schoolbook" w:cs="Times New Roman"/>
          <w:sz w:val="24"/>
          <w:szCs w:val="24"/>
        </w:rPr>
        <w:t xml:space="preserve"> </w:t>
      </w:r>
      <w:r w:rsidR="00A03014" w:rsidRPr="006C6879">
        <w:rPr>
          <w:rFonts w:ascii="Century Schoolbook" w:hAnsi="Century Schoolbook" w:cs="Times New Roman"/>
          <w:sz w:val="24"/>
          <w:szCs w:val="24"/>
        </w:rPr>
        <w:t>deliberately not fill</w:t>
      </w:r>
      <w:r w:rsidR="00A03014">
        <w:rPr>
          <w:rFonts w:ascii="Century Schoolbook" w:hAnsi="Century Schoolbook" w:cs="Times New Roman"/>
          <w:sz w:val="24"/>
          <w:szCs w:val="24"/>
        </w:rPr>
        <w:t>ing</w:t>
      </w:r>
      <w:r w:rsidR="00A03014" w:rsidRPr="006C6879">
        <w:rPr>
          <w:rFonts w:ascii="Century Schoolbook" w:hAnsi="Century Schoolbook" w:cs="Times New Roman"/>
          <w:sz w:val="24"/>
          <w:szCs w:val="24"/>
        </w:rPr>
        <w:t xml:space="preserve"> a budgeted and funded post in the public sector</w:t>
      </w:r>
      <w:r w:rsidR="00A03014">
        <w:rPr>
          <w:rFonts w:ascii="Century Schoolbook" w:hAnsi="Century Schoolbook" w:cs="Times New Roman"/>
          <w:sz w:val="24"/>
          <w:szCs w:val="24"/>
        </w:rPr>
        <w:t>,</w:t>
      </w:r>
      <w:r w:rsidR="00A03014" w:rsidRPr="006C6879">
        <w:rPr>
          <w:rFonts w:ascii="Century Schoolbook" w:hAnsi="Century Schoolbook" w:cs="Times New Roman"/>
          <w:sz w:val="24"/>
          <w:szCs w:val="24"/>
        </w:rPr>
        <w:t xml:space="preserve"> and not </w:t>
      </w:r>
      <w:r w:rsidR="00A03014">
        <w:rPr>
          <w:rFonts w:ascii="Century Schoolbook" w:hAnsi="Century Schoolbook" w:cs="Times New Roman"/>
          <w:sz w:val="24"/>
          <w:szCs w:val="24"/>
        </w:rPr>
        <w:t>spending</w:t>
      </w:r>
      <w:r w:rsidR="00A03014" w:rsidRPr="007B74F2">
        <w:rPr>
          <w:rFonts w:ascii="Century Schoolbook" w:hAnsi="Century Schoolbook" w:cs="Times New Roman"/>
          <w:sz w:val="24"/>
          <w:szCs w:val="24"/>
        </w:rPr>
        <w:t xml:space="preserve"> </w:t>
      </w:r>
      <w:r w:rsidR="00A03014">
        <w:rPr>
          <w:rFonts w:ascii="Century Schoolbook" w:hAnsi="Century Schoolbook" w:cs="Times New Roman"/>
          <w:sz w:val="24"/>
          <w:szCs w:val="24"/>
        </w:rPr>
        <w:t xml:space="preserve">the </w:t>
      </w:r>
      <w:r w:rsidR="00A03014" w:rsidRPr="006C6879">
        <w:rPr>
          <w:rFonts w:ascii="Century Schoolbook" w:hAnsi="Century Schoolbook" w:cs="Times New Roman"/>
          <w:sz w:val="24"/>
          <w:szCs w:val="24"/>
        </w:rPr>
        <w:t>salary budget received for it</w:t>
      </w:r>
      <w:r w:rsidR="00A03014">
        <w:rPr>
          <w:rFonts w:ascii="Century Schoolbook" w:hAnsi="Century Schoolbook" w:cs="Times New Roman"/>
          <w:sz w:val="24"/>
          <w:szCs w:val="24"/>
        </w:rPr>
        <w:t xml:space="preserve"> on </w:t>
      </w:r>
      <w:r w:rsidR="00A547E1">
        <w:rPr>
          <w:rFonts w:ascii="Century Schoolbook" w:hAnsi="Century Schoolbook" w:cs="Times New Roman"/>
          <w:sz w:val="24"/>
          <w:szCs w:val="24"/>
        </w:rPr>
        <w:t>employ</w:t>
      </w:r>
      <w:r w:rsidR="00A03014">
        <w:rPr>
          <w:rFonts w:ascii="Century Schoolbook" w:hAnsi="Century Schoolbook" w:cs="Times New Roman"/>
          <w:sz w:val="24"/>
          <w:szCs w:val="24"/>
        </w:rPr>
        <w:t>ing a suitable officer to fill it,</w:t>
      </w:r>
      <w:r w:rsidR="007B74F2">
        <w:rPr>
          <w:rFonts w:ascii="Century Schoolbook" w:hAnsi="Century Schoolbook"/>
          <w:sz w:val="24"/>
          <w:szCs w:val="24"/>
        </w:rPr>
        <w:t xml:space="preserve"> </w:t>
      </w:r>
      <w:r w:rsidR="007B74F2">
        <w:rPr>
          <w:rFonts w:ascii="Century Schoolbook" w:hAnsi="Century Schoolbook" w:cs="Times New Roman"/>
          <w:sz w:val="24"/>
          <w:szCs w:val="24"/>
        </w:rPr>
        <w:t>contraven</w:t>
      </w:r>
      <w:r w:rsidR="00A03014">
        <w:rPr>
          <w:rFonts w:ascii="Century Schoolbook" w:hAnsi="Century Schoolbook" w:cs="Times New Roman"/>
          <w:sz w:val="24"/>
          <w:szCs w:val="24"/>
        </w:rPr>
        <w:t xml:space="preserve">es </w:t>
      </w:r>
      <w:r w:rsidR="007B74F2">
        <w:rPr>
          <w:rFonts w:ascii="Century Schoolbook" w:hAnsi="Century Schoolbook" w:cs="Times New Roman"/>
          <w:sz w:val="24"/>
          <w:szCs w:val="24"/>
        </w:rPr>
        <w:t>the PFMA.</w:t>
      </w:r>
      <w:r>
        <w:rPr>
          <w:rFonts w:ascii="Century Schoolbook" w:hAnsi="Century Schoolbook" w:cs="Times New Roman"/>
          <w:sz w:val="24"/>
          <w:szCs w:val="24"/>
        </w:rPr>
        <w:t xml:space="preserve"> </w:t>
      </w:r>
      <w:r w:rsidR="00A03014">
        <w:rPr>
          <w:rFonts w:ascii="Century Schoolbook" w:hAnsi="Century Schoolbook" w:cs="Times New Roman"/>
          <w:sz w:val="24"/>
          <w:szCs w:val="24"/>
        </w:rPr>
        <w:t>Indeed</w:t>
      </w:r>
      <w:r w:rsidR="00722E29">
        <w:rPr>
          <w:rFonts w:ascii="Century Schoolbook" w:hAnsi="Century Schoolbook" w:cs="Times New Roman"/>
          <w:sz w:val="24"/>
          <w:szCs w:val="24"/>
        </w:rPr>
        <w:t>,</w:t>
      </w:r>
      <w:r w:rsidR="00A03014">
        <w:rPr>
          <w:rFonts w:ascii="Century Schoolbook" w:hAnsi="Century Schoolbook" w:cs="Times New Roman"/>
          <w:sz w:val="24"/>
          <w:szCs w:val="24"/>
        </w:rPr>
        <w:t xml:space="preserve"> </w:t>
      </w:r>
      <w:r w:rsidR="00955E36">
        <w:rPr>
          <w:rFonts w:ascii="Century Schoolbook" w:hAnsi="Century Schoolbook"/>
          <w:sz w:val="24"/>
          <w:szCs w:val="24"/>
        </w:rPr>
        <w:t xml:space="preserve">our </w:t>
      </w:r>
      <w:r w:rsidR="00287C59">
        <w:rPr>
          <w:rFonts w:ascii="Century Schoolbook" w:hAnsi="Century Schoolbook"/>
          <w:sz w:val="24"/>
          <w:szCs w:val="24"/>
        </w:rPr>
        <w:t>apex</w:t>
      </w:r>
      <w:r w:rsidR="00284921">
        <w:rPr>
          <w:rFonts w:ascii="Century Schoolbook" w:hAnsi="Century Schoolbook"/>
          <w:sz w:val="24"/>
          <w:szCs w:val="24"/>
        </w:rPr>
        <w:t xml:space="preserve"> court noted that this </w:t>
      </w:r>
      <w:r w:rsidR="00722E29">
        <w:rPr>
          <w:rFonts w:ascii="Century Schoolbook" w:hAnsi="Century Schoolbook"/>
          <w:sz w:val="24"/>
          <w:szCs w:val="24"/>
        </w:rPr>
        <w:t>trite</w:t>
      </w:r>
      <w:r w:rsidR="007B74F2">
        <w:rPr>
          <w:rFonts w:ascii="Century Schoolbook" w:hAnsi="Century Schoolbook"/>
          <w:sz w:val="24"/>
          <w:szCs w:val="24"/>
        </w:rPr>
        <w:t xml:space="preserve"> p</w:t>
      </w:r>
      <w:r w:rsidR="00A03014">
        <w:rPr>
          <w:rFonts w:ascii="Century Schoolbook" w:hAnsi="Century Schoolbook"/>
          <w:sz w:val="24"/>
          <w:szCs w:val="24"/>
        </w:rPr>
        <w:t>rinciple</w:t>
      </w:r>
      <w:r w:rsidR="007B74F2">
        <w:rPr>
          <w:rFonts w:ascii="Century Schoolbook" w:hAnsi="Century Schoolbook"/>
          <w:sz w:val="24"/>
          <w:szCs w:val="24"/>
        </w:rPr>
        <w:t xml:space="preserve"> </w:t>
      </w:r>
      <w:r w:rsidR="00284921">
        <w:rPr>
          <w:rFonts w:ascii="Century Schoolbook" w:hAnsi="Century Schoolbook"/>
          <w:sz w:val="24"/>
          <w:szCs w:val="24"/>
        </w:rPr>
        <w:t xml:space="preserve">was </w:t>
      </w:r>
      <w:r w:rsidR="00955E36">
        <w:rPr>
          <w:rFonts w:ascii="Century Schoolbook" w:hAnsi="Century Schoolbook"/>
          <w:sz w:val="24"/>
          <w:szCs w:val="24"/>
        </w:rPr>
        <w:t xml:space="preserve">beyond issue and </w:t>
      </w:r>
      <w:r w:rsidR="00284921">
        <w:rPr>
          <w:rFonts w:ascii="Century Schoolbook" w:hAnsi="Century Schoolbook"/>
          <w:sz w:val="24"/>
          <w:szCs w:val="24"/>
        </w:rPr>
        <w:t>common cause between the parties</w:t>
      </w:r>
      <w:r w:rsidR="00A7420D" w:rsidRPr="006C6879">
        <w:rPr>
          <w:rFonts w:ascii="Century Schoolbook" w:hAnsi="Century Schoolbook"/>
          <w:sz w:val="24"/>
          <w:szCs w:val="24"/>
        </w:rPr>
        <w:t>:</w:t>
      </w:r>
    </w:p>
    <w:p w:rsidR="00A7420D" w:rsidRPr="006C6879" w:rsidRDefault="00A7420D" w:rsidP="00A7420D">
      <w:pPr>
        <w:pStyle w:val="ListParagraph"/>
        <w:spacing w:line="360" w:lineRule="auto"/>
        <w:ind w:right="1372"/>
        <w:contextualSpacing w:val="0"/>
        <w:rPr>
          <w:rFonts w:ascii="Century Schoolbook" w:hAnsi="Century Schoolbook" w:cs="Arial"/>
          <w:sz w:val="24"/>
          <w:szCs w:val="24"/>
          <w:shd w:val="clear" w:color="auto" w:fill="FFFFFF"/>
        </w:rPr>
      </w:pPr>
      <w:r w:rsidRPr="006C6879">
        <w:rPr>
          <w:rFonts w:ascii="Century Schoolbook" w:hAnsi="Century Schoolbook" w:cs="Arial"/>
          <w:sz w:val="24"/>
          <w:szCs w:val="24"/>
          <w:shd w:val="clear" w:color="auto" w:fill="FFFFFF"/>
        </w:rPr>
        <w:t>[8] ... The Premier submitted that, had the position ... been left vacant, he would have been in breach of the provisions of the Public Finance Management Act (PFMA) which preclude him from leaving the position ... vacant. ...</w:t>
      </w:r>
    </w:p>
    <w:p w:rsidR="00A7420D" w:rsidRPr="006C6879" w:rsidRDefault="00A7420D" w:rsidP="00A7420D">
      <w:pPr>
        <w:pStyle w:val="ListParagraph"/>
        <w:spacing w:line="360" w:lineRule="auto"/>
        <w:ind w:right="1372"/>
        <w:contextualSpacing w:val="0"/>
        <w:rPr>
          <w:rFonts w:ascii="Century Schoolbook" w:hAnsi="Century Schoolbook" w:cs="Arial"/>
          <w:sz w:val="24"/>
          <w:szCs w:val="24"/>
          <w:shd w:val="clear" w:color="auto" w:fill="FFFFFF"/>
        </w:rPr>
      </w:pPr>
      <w:r w:rsidRPr="006C6879">
        <w:rPr>
          <w:rFonts w:ascii="Century Schoolbook" w:hAnsi="Century Schoolbook" w:cs="Arial"/>
          <w:sz w:val="24"/>
          <w:szCs w:val="24"/>
          <w:shd w:val="clear" w:color="auto" w:fill="FFFFFF"/>
        </w:rPr>
        <w:t>[9] ... The Labour Court further stated that the defence by the Premier that he was bound by the PFMA was not challenged by the applicant. ...</w:t>
      </w:r>
    </w:p>
    <w:p w:rsidR="00284921" w:rsidRPr="002C1168" w:rsidRDefault="002C1168" w:rsidP="00284921">
      <w:pPr>
        <w:pStyle w:val="ListParagraph"/>
        <w:numPr>
          <w:ilvl w:val="0"/>
          <w:numId w:val="1"/>
        </w:numPr>
        <w:tabs>
          <w:tab w:val="left" w:pos="284"/>
          <w:tab w:val="left" w:pos="426"/>
        </w:tabs>
        <w:spacing w:line="360" w:lineRule="auto"/>
        <w:ind w:left="0" w:firstLine="0"/>
        <w:contextualSpacing w:val="0"/>
        <w:rPr>
          <w:rFonts w:ascii="Century Schoolbook" w:hAnsi="Century Schoolbook"/>
          <w:color w:val="222222"/>
          <w:sz w:val="24"/>
          <w:szCs w:val="24"/>
          <w:shd w:val="clear" w:color="auto" w:fill="FFFFFF"/>
        </w:rPr>
      </w:pPr>
      <w:r w:rsidRPr="002C1168">
        <w:rPr>
          <w:rFonts w:ascii="Century Schoolbook" w:hAnsi="Century Schoolbook" w:cs="Times New Roman"/>
          <w:sz w:val="24"/>
          <w:szCs w:val="24"/>
        </w:rPr>
        <w:t>CEO Vedalankar</w:t>
      </w:r>
      <w:r>
        <w:rPr>
          <w:rFonts w:ascii="Century Schoolbook" w:hAnsi="Century Schoolbook" w:cs="Times New Roman"/>
          <w:sz w:val="24"/>
          <w:szCs w:val="24"/>
        </w:rPr>
        <w:t>’s</w:t>
      </w:r>
      <w:r w:rsidRPr="002C1168">
        <w:rPr>
          <w:rFonts w:ascii="Century Schoolbook" w:hAnsi="Century Schoolbook" w:cs="Times New Roman"/>
          <w:sz w:val="24"/>
          <w:szCs w:val="24"/>
        </w:rPr>
        <w:t xml:space="preserve"> contraven</w:t>
      </w:r>
      <w:r>
        <w:rPr>
          <w:rFonts w:ascii="Century Schoolbook" w:hAnsi="Century Schoolbook" w:cs="Times New Roman"/>
          <w:sz w:val="24"/>
          <w:szCs w:val="24"/>
        </w:rPr>
        <w:t xml:space="preserve">tion of </w:t>
      </w:r>
      <w:r w:rsidRPr="002C1168">
        <w:rPr>
          <w:rFonts w:ascii="Century Schoolbook" w:hAnsi="Century Schoolbook" w:cs="Times New Roman"/>
          <w:sz w:val="24"/>
          <w:szCs w:val="24"/>
        </w:rPr>
        <w:t>section 53(3) of the PFMA</w:t>
      </w:r>
      <w:r w:rsidR="003503E9">
        <w:rPr>
          <w:rFonts w:ascii="Century Schoolbook" w:hAnsi="Century Schoolbook" w:cs="Times New Roman"/>
          <w:sz w:val="24"/>
          <w:szCs w:val="24"/>
        </w:rPr>
        <w:t xml:space="preserve"> in not applying LASA’s Senior Litigator budget to the employment of suitably qualified and experienced trial lawyers </w:t>
      </w:r>
      <w:r w:rsidR="007E4783">
        <w:rPr>
          <w:rFonts w:ascii="Century Schoolbook" w:hAnsi="Century Schoolbook" w:cs="Times New Roman"/>
          <w:sz w:val="24"/>
          <w:szCs w:val="24"/>
        </w:rPr>
        <w:t>in its Pietermaritzburg, Durban and Mthatha</w:t>
      </w:r>
      <w:r w:rsidR="003503E9">
        <w:rPr>
          <w:rFonts w:ascii="Century Schoolbook" w:hAnsi="Century Schoolbook" w:cs="Times New Roman"/>
          <w:sz w:val="24"/>
          <w:szCs w:val="24"/>
        </w:rPr>
        <w:t xml:space="preserve"> Senior Litigator posts</w:t>
      </w:r>
      <w:r w:rsidR="007E4783">
        <w:rPr>
          <w:rFonts w:ascii="Century Schoolbook" w:hAnsi="Century Schoolbook" w:cs="Times New Roman"/>
          <w:sz w:val="24"/>
          <w:szCs w:val="24"/>
        </w:rPr>
        <w:t xml:space="preserve"> amounts to </w:t>
      </w:r>
      <w:r w:rsidR="007E4783" w:rsidRPr="002C1168">
        <w:rPr>
          <w:rFonts w:ascii="Century Schoolbook" w:hAnsi="Century Schoolbook" w:cs="Times New Roman"/>
          <w:sz w:val="24"/>
          <w:szCs w:val="24"/>
        </w:rPr>
        <w:t>financial misconduct</w:t>
      </w:r>
      <w:r w:rsidR="007E4783">
        <w:rPr>
          <w:rFonts w:ascii="Century Schoolbook" w:hAnsi="Century Schoolbook" w:cs="Times New Roman"/>
          <w:sz w:val="24"/>
          <w:szCs w:val="24"/>
        </w:rPr>
        <w:t xml:space="preserve"> – </w:t>
      </w:r>
      <w:r>
        <w:rPr>
          <w:rFonts w:ascii="Century Schoolbook" w:hAnsi="Century Schoolbook" w:cs="Times New Roman"/>
          <w:sz w:val="24"/>
          <w:szCs w:val="24"/>
        </w:rPr>
        <w:t xml:space="preserve">for which </w:t>
      </w:r>
      <w:r w:rsidRPr="002C1168">
        <w:rPr>
          <w:rFonts w:ascii="Century Schoolbook" w:hAnsi="Century Schoolbook" w:cs="Times New Roman"/>
          <w:sz w:val="24"/>
          <w:szCs w:val="24"/>
        </w:rPr>
        <w:t>Mlambo JP and the Boar</w:t>
      </w:r>
      <w:r>
        <w:rPr>
          <w:rFonts w:ascii="Century Schoolbook" w:hAnsi="Century Schoolbook" w:cs="Times New Roman"/>
          <w:sz w:val="24"/>
          <w:szCs w:val="24"/>
        </w:rPr>
        <w:t>d are ultimately responsible</w:t>
      </w:r>
      <w:r w:rsidR="007E4783">
        <w:rPr>
          <w:rFonts w:ascii="Century Schoolbook" w:hAnsi="Century Schoolbook" w:cs="Times New Roman"/>
          <w:sz w:val="24"/>
          <w:szCs w:val="24"/>
        </w:rPr>
        <w:t xml:space="preserve"> – </w:t>
      </w:r>
      <w:r>
        <w:rPr>
          <w:rFonts w:ascii="Century Schoolbook" w:hAnsi="Century Schoolbook" w:cs="Times New Roman"/>
          <w:sz w:val="24"/>
          <w:szCs w:val="24"/>
        </w:rPr>
        <w:t>in that s</w:t>
      </w:r>
      <w:r w:rsidR="00284921" w:rsidRPr="002C1168">
        <w:rPr>
          <w:rFonts w:ascii="Century Schoolbook" w:hAnsi="Century Schoolbook"/>
          <w:color w:val="222222"/>
          <w:sz w:val="24"/>
          <w:szCs w:val="24"/>
          <w:shd w:val="clear" w:color="auto" w:fill="FFFFFF"/>
        </w:rPr>
        <w:t>ection 83 of the PFMA provides:</w:t>
      </w:r>
    </w:p>
    <w:p w:rsidR="00284921" w:rsidRPr="006C6879" w:rsidRDefault="00284921" w:rsidP="00284921">
      <w:pPr>
        <w:pStyle w:val="ListParagraph"/>
        <w:numPr>
          <w:ilvl w:val="0"/>
          <w:numId w:val="7"/>
        </w:numPr>
        <w:autoSpaceDE w:val="0"/>
        <w:autoSpaceDN w:val="0"/>
        <w:adjustRightInd w:val="0"/>
        <w:spacing w:line="360" w:lineRule="auto"/>
        <w:ind w:left="1134" w:hanging="425"/>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The accounting authority for a public entity commits an act of financial misconduct if that accounting authority wilfully or negligently– </w:t>
      </w:r>
    </w:p>
    <w:p w:rsidR="00284921" w:rsidRPr="00422077" w:rsidRDefault="00284921" w:rsidP="00284921">
      <w:pPr>
        <w:pStyle w:val="ListParagraph"/>
        <w:numPr>
          <w:ilvl w:val="0"/>
          <w:numId w:val="5"/>
        </w:numPr>
        <w:autoSpaceDE w:val="0"/>
        <w:autoSpaceDN w:val="0"/>
        <w:adjustRightInd w:val="0"/>
        <w:spacing w:line="360" w:lineRule="auto"/>
        <w:ind w:left="1560" w:hanging="426"/>
        <w:rPr>
          <w:rFonts w:ascii="Century Schoolbook" w:hAnsi="Century Schoolbook" w:cs="Times New Roman"/>
          <w:sz w:val="24"/>
          <w:szCs w:val="24"/>
        </w:rPr>
      </w:pPr>
      <w:r w:rsidRPr="00422077">
        <w:rPr>
          <w:rFonts w:ascii="Century Schoolbook" w:hAnsi="Century Schoolbook" w:cs="Times New Roman"/>
          <w:sz w:val="24"/>
          <w:szCs w:val="24"/>
        </w:rPr>
        <w:lastRenderedPageBreak/>
        <w:t>fails to comply with a requirement of section ... 53 ... or 55; or</w:t>
      </w:r>
    </w:p>
    <w:p w:rsidR="00284921" w:rsidRPr="006C6879" w:rsidRDefault="00E336DA" w:rsidP="00284921">
      <w:pPr>
        <w:pStyle w:val="ListParagraph"/>
        <w:numPr>
          <w:ilvl w:val="0"/>
          <w:numId w:val="5"/>
        </w:numPr>
        <w:autoSpaceDE w:val="0"/>
        <w:autoSpaceDN w:val="0"/>
        <w:adjustRightInd w:val="0"/>
        <w:spacing w:line="360" w:lineRule="auto"/>
        <w:ind w:left="1560" w:hanging="426"/>
        <w:contextualSpacing w:val="0"/>
        <w:rPr>
          <w:rFonts w:ascii="Century Schoolbook" w:hAnsi="Century Schoolbook" w:cs="Times New Roman"/>
          <w:sz w:val="24"/>
          <w:szCs w:val="24"/>
        </w:rPr>
      </w:pPr>
      <w:r>
        <w:rPr>
          <w:rFonts w:ascii="Century Schoolbook" w:hAnsi="Century Schoolbook" w:cs="Times New Roman"/>
          <w:sz w:val="24"/>
          <w:szCs w:val="24"/>
        </w:rPr>
        <w:t>...</w:t>
      </w:r>
    </w:p>
    <w:p w:rsidR="00284921" w:rsidRPr="006C6879" w:rsidRDefault="00284921" w:rsidP="00284921">
      <w:pPr>
        <w:pStyle w:val="ListParagraph"/>
        <w:numPr>
          <w:ilvl w:val="0"/>
          <w:numId w:val="7"/>
        </w:numPr>
        <w:autoSpaceDE w:val="0"/>
        <w:autoSpaceDN w:val="0"/>
        <w:adjustRightInd w:val="0"/>
        <w:spacing w:line="360" w:lineRule="auto"/>
        <w:ind w:left="1134" w:hanging="425"/>
        <w:contextualSpacing w:val="0"/>
        <w:rPr>
          <w:rFonts w:ascii="Century Schoolbook" w:hAnsi="Century Schoolbook" w:cs="Times New Roman"/>
          <w:sz w:val="24"/>
          <w:szCs w:val="24"/>
        </w:rPr>
      </w:pPr>
      <w:r w:rsidRPr="006C6879">
        <w:rPr>
          <w:rFonts w:ascii="Century Schoolbook" w:hAnsi="Century Schoolbook" w:cs="Times New Roman"/>
          <w:sz w:val="24"/>
          <w:szCs w:val="24"/>
        </w:rPr>
        <w:t>If the accounting authority is a board or other body consisting of members, every member is individually and severally liable for any financial misconduct of the accounting authority.</w:t>
      </w:r>
    </w:p>
    <w:p w:rsidR="00284921" w:rsidRPr="006C6879" w:rsidRDefault="00284921" w:rsidP="00284921">
      <w:pPr>
        <w:pStyle w:val="ListParagraph"/>
        <w:numPr>
          <w:ilvl w:val="0"/>
          <w:numId w:val="7"/>
        </w:numPr>
        <w:autoSpaceDE w:val="0"/>
        <w:autoSpaceDN w:val="0"/>
        <w:adjustRightInd w:val="0"/>
        <w:spacing w:line="360" w:lineRule="auto"/>
        <w:ind w:left="1134" w:hanging="425"/>
        <w:contextualSpacing w:val="0"/>
        <w:rPr>
          <w:rFonts w:ascii="Century Schoolbook" w:hAnsi="Century Schoolbook" w:cs="Times New Roman"/>
          <w:sz w:val="24"/>
          <w:szCs w:val="24"/>
        </w:rPr>
      </w:pPr>
      <w:r w:rsidRPr="006C6879">
        <w:rPr>
          <w:rFonts w:ascii="Century Schoolbook" w:hAnsi="Century Schoolbook" w:cs="Times New Roman"/>
          <w:sz w:val="24"/>
          <w:szCs w:val="24"/>
        </w:rPr>
        <w:t xml:space="preserve">An official of a public entity to whom a </w:t>
      </w:r>
      <w:r w:rsidRPr="008116FF">
        <w:rPr>
          <w:rFonts w:ascii="Century Schoolbook" w:hAnsi="Century Schoolbook" w:cs="Times New Roman"/>
          <w:sz w:val="24"/>
          <w:szCs w:val="24"/>
        </w:rPr>
        <w:t>power or duty is assigned in terms of section 56</w:t>
      </w:r>
      <w:r w:rsidRPr="006C6879">
        <w:rPr>
          <w:rFonts w:ascii="Century Schoolbook" w:hAnsi="Century Schoolbook" w:cs="Times New Roman"/>
          <w:sz w:val="24"/>
          <w:szCs w:val="24"/>
        </w:rPr>
        <w:t xml:space="preserve"> commits an act of financial misconduct if that official wilfully or negligently fails to exercise that power or perform that duty.</w:t>
      </w:r>
    </w:p>
    <w:p w:rsidR="00284921" w:rsidRPr="006C6879" w:rsidRDefault="00284921" w:rsidP="00284921">
      <w:pPr>
        <w:pStyle w:val="ListParagraph"/>
        <w:numPr>
          <w:ilvl w:val="0"/>
          <w:numId w:val="7"/>
        </w:numPr>
        <w:autoSpaceDE w:val="0"/>
        <w:autoSpaceDN w:val="0"/>
        <w:adjustRightInd w:val="0"/>
        <w:spacing w:line="360" w:lineRule="auto"/>
        <w:ind w:left="1134" w:hanging="425"/>
        <w:contextualSpacing w:val="0"/>
        <w:rPr>
          <w:rFonts w:ascii="Century Schoolbook" w:hAnsi="Century Schoolbook" w:cs="Times New Roman"/>
          <w:sz w:val="24"/>
          <w:szCs w:val="24"/>
        </w:rPr>
      </w:pPr>
      <w:r w:rsidRPr="006C6879">
        <w:rPr>
          <w:rFonts w:ascii="Century Schoolbook" w:hAnsi="Century Schoolbook" w:cs="Times New Roman"/>
          <w:sz w:val="24"/>
          <w:szCs w:val="24"/>
        </w:rPr>
        <w:t>Financial misconduct is a ground for dismissal or suspension of, or other sanction against, a member or person referred to in subsection (2) or (3) despite any other legislation.</w:t>
      </w:r>
    </w:p>
    <w:p w:rsidR="00EE623F" w:rsidRPr="006C6879" w:rsidRDefault="00EE623F" w:rsidP="00EE623F">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S</w:t>
      </w:r>
      <w:r w:rsidRPr="006C6879">
        <w:rPr>
          <w:rFonts w:ascii="Century Schoolbook" w:hAnsi="Century Schoolbook"/>
          <w:color w:val="222222"/>
          <w:sz w:val="24"/>
          <w:szCs w:val="24"/>
          <w:shd w:val="clear" w:color="auto" w:fill="FFFFFF"/>
        </w:rPr>
        <w:t>ection 55(1)(a) of the PFMA prescribes:</w:t>
      </w:r>
    </w:p>
    <w:p w:rsidR="00EE623F" w:rsidRPr="006C6879" w:rsidRDefault="00EE623F" w:rsidP="00EE623F">
      <w:pPr>
        <w:pStyle w:val="ListParagraph"/>
        <w:tabs>
          <w:tab w:val="left" w:pos="426"/>
          <w:tab w:val="left" w:pos="709"/>
        </w:tabs>
        <w:spacing w:line="360" w:lineRule="auto"/>
        <w:contextualSpacing w:val="0"/>
        <w:rPr>
          <w:rFonts w:ascii="Century Schoolbook" w:hAnsi="Century Schoolbook"/>
          <w:color w:val="222222"/>
          <w:sz w:val="24"/>
          <w:szCs w:val="24"/>
          <w:shd w:val="clear" w:color="auto" w:fill="FFFFFF"/>
        </w:rPr>
      </w:pPr>
      <w:r w:rsidRPr="006C6879">
        <w:rPr>
          <w:rFonts w:ascii="Century Schoolbook" w:hAnsi="Century Schoolbook"/>
          <w:color w:val="222222"/>
          <w:sz w:val="24"/>
          <w:szCs w:val="24"/>
          <w:shd w:val="clear" w:color="auto" w:fill="FFFFFF"/>
        </w:rPr>
        <w:t>The accounting authority for a public entity ... must keep full and proper records of the financial affairs of the public entity.</w:t>
      </w:r>
    </w:p>
    <w:p w:rsidR="00323D2C" w:rsidRDefault="001C6D55" w:rsidP="001C766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Consistently with this provision, s</w:t>
      </w:r>
      <w:r w:rsidR="00323D2C">
        <w:rPr>
          <w:rFonts w:ascii="Century Schoolbook" w:hAnsi="Century Schoolbook" w:cs="Times New Roman"/>
          <w:sz w:val="24"/>
          <w:szCs w:val="24"/>
        </w:rPr>
        <w:t>ection 12 of LASA’s Code of Conduct and Ethics requires:</w:t>
      </w:r>
    </w:p>
    <w:p w:rsidR="00323D2C" w:rsidRDefault="00323D2C" w:rsidP="00323D2C">
      <w:pPr>
        <w:pStyle w:val="ListParagraph"/>
        <w:tabs>
          <w:tab w:val="left" w:pos="284"/>
          <w:tab w:val="left" w:pos="426"/>
        </w:tabs>
        <w:spacing w:line="360" w:lineRule="auto"/>
        <w:contextualSpacing w:val="0"/>
        <w:rPr>
          <w:rFonts w:ascii="Century Schoolbook" w:hAnsi="Century Schoolbook" w:cs="Times New Roman"/>
          <w:sz w:val="24"/>
          <w:szCs w:val="24"/>
        </w:rPr>
      </w:pPr>
      <w:r>
        <w:rPr>
          <w:rFonts w:ascii="Century Schoolbook" w:hAnsi="Century Schoolbook" w:cs="Times New Roman"/>
          <w:sz w:val="24"/>
          <w:szCs w:val="24"/>
        </w:rPr>
        <w:t>Accurate and reliable records of many kinds are necessary to meet the LEGAL AID BOARD’</w:t>
      </w:r>
      <w:r w:rsidR="006F2560">
        <w:rPr>
          <w:rFonts w:ascii="Century Schoolbook" w:hAnsi="Century Schoolbook" w:cs="Times New Roman"/>
          <w:sz w:val="24"/>
          <w:szCs w:val="24"/>
        </w:rPr>
        <w:t>s</w:t>
      </w:r>
      <w:r>
        <w:rPr>
          <w:rFonts w:ascii="Century Schoolbook" w:hAnsi="Century Schoolbook" w:cs="Times New Roman"/>
          <w:sz w:val="24"/>
          <w:szCs w:val="24"/>
        </w:rPr>
        <w:t xml:space="preserve"> legal and financial obligations and to manage the affairs of the </w:t>
      </w:r>
      <w:r w:rsidR="00A547E1">
        <w:rPr>
          <w:rFonts w:ascii="Century Schoolbook" w:hAnsi="Century Schoolbook" w:cs="Times New Roman"/>
          <w:sz w:val="24"/>
          <w:szCs w:val="24"/>
        </w:rPr>
        <w:t>LEGAL</w:t>
      </w:r>
      <w:r>
        <w:rPr>
          <w:rFonts w:ascii="Century Schoolbook" w:hAnsi="Century Schoolbook" w:cs="Times New Roman"/>
          <w:sz w:val="24"/>
          <w:szCs w:val="24"/>
        </w:rPr>
        <w:t xml:space="preserve"> AID BOARD. The LEGAL AID BOARD’s books and records should reflect all business transactions ... and the employees responsible for accounting and record-keeping functions are expected to be diligent in enforcing proper practices.</w:t>
      </w:r>
      <w:r w:rsidR="002E233A">
        <w:rPr>
          <w:rStyle w:val="FootnoteReference"/>
          <w:rFonts w:ascii="Century Schoolbook" w:hAnsi="Century Schoolbook" w:cs="Times New Roman"/>
          <w:sz w:val="24"/>
          <w:szCs w:val="24"/>
        </w:rPr>
        <w:footnoteReference w:id="145"/>
      </w:r>
    </w:p>
    <w:p w:rsidR="001934C8" w:rsidRDefault="002C5288" w:rsidP="001C766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s="Times New Roman"/>
          <w:sz w:val="24"/>
          <w:szCs w:val="24"/>
        </w:rPr>
        <w:t>NOE Nair has repeatedly conceded</w:t>
      </w:r>
      <w:r w:rsidR="00A547E1">
        <w:rPr>
          <w:rFonts w:ascii="Century Schoolbook" w:hAnsi="Century Schoolbook" w:cs="Times New Roman"/>
          <w:sz w:val="24"/>
          <w:szCs w:val="24"/>
        </w:rPr>
        <w:t>,</w:t>
      </w:r>
      <w:r w:rsidRPr="006C6879">
        <w:rPr>
          <w:rStyle w:val="FootnoteReference"/>
          <w:rFonts w:ascii="Century Schoolbook" w:hAnsi="Century Schoolbook" w:cs="Times New Roman"/>
          <w:sz w:val="24"/>
          <w:szCs w:val="24"/>
        </w:rPr>
        <w:footnoteReference w:id="146"/>
      </w:r>
      <w:r w:rsidRPr="006C6879">
        <w:rPr>
          <w:rFonts w:ascii="Century Schoolbook" w:hAnsi="Century Schoolbook" w:cs="Times New Roman"/>
          <w:sz w:val="24"/>
          <w:szCs w:val="24"/>
        </w:rPr>
        <w:t xml:space="preserve"> and CEO Vedalankar</w:t>
      </w:r>
      <w:r w:rsidRPr="006C6879">
        <w:rPr>
          <w:rStyle w:val="FootnoteReference"/>
          <w:rFonts w:ascii="Century Schoolbook" w:hAnsi="Century Schoolbook" w:cs="Times New Roman"/>
          <w:sz w:val="24"/>
          <w:szCs w:val="24"/>
        </w:rPr>
        <w:footnoteReference w:id="147"/>
      </w:r>
      <w:r w:rsidRPr="006C6879">
        <w:rPr>
          <w:rFonts w:ascii="Century Schoolbook" w:hAnsi="Century Schoolbook" w:cs="Times New Roman"/>
          <w:sz w:val="24"/>
          <w:szCs w:val="24"/>
        </w:rPr>
        <w:t xml:space="preserve"> and HRE Clark</w:t>
      </w:r>
      <w:r w:rsidRPr="006C6879">
        <w:rPr>
          <w:rStyle w:val="FootnoteReference"/>
          <w:rFonts w:ascii="Century Schoolbook" w:hAnsi="Century Schoolbook" w:cs="Times New Roman"/>
          <w:sz w:val="24"/>
          <w:szCs w:val="24"/>
        </w:rPr>
        <w:footnoteReference w:id="148"/>
      </w:r>
      <w:r w:rsidRPr="006C6879">
        <w:rPr>
          <w:rFonts w:ascii="Century Schoolbook" w:hAnsi="Century Schoolbook" w:cs="Times New Roman"/>
          <w:sz w:val="24"/>
          <w:szCs w:val="24"/>
        </w:rPr>
        <w:t xml:space="preserve"> have</w:t>
      </w:r>
      <w:r w:rsidR="002E233A" w:rsidRPr="002E233A">
        <w:rPr>
          <w:rFonts w:ascii="Century Schoolbook" w:hAnsi="Century Schoolbook" w:cs="Times New Roman"/>
          <w:sz w:val="24"/>
          <w:szCs w:val="24"/>
        </w:rPr>
        <w:t xml:space="preserve"> </w:t>
      </w:r>
      <w:r w:rsidR="002E233A" w:rsidRPr="006C6879">
        <w:rPr>
          <w:rFonts w:ascii="Century Schoolbook" w:hAnsi="Century Schoolbook" w:cs="Times New Roman"/>
          <w:sz w:val="24"/>
          <w:szCs w:val="24"/>
        </w:rPr>
        <w:t>likewise</w:t>
      </w:r>
      <w:r w:rsidRPr="006C6879">
        <w:rPr>
          <w:rFonts w:ascii="Century Schoolbook" w:hAnsi="Century Schoolbook" w:cs="Times New Roman"/>
          <w:sz w:val="24"/>
          <w:szCs w:val="24"/>
        </w:rPr>
        <w:t xml:space="preserve"> confirmed</w:t>
      </w:r>
      <w:r w:rsidR="00287C59">
        <w:rPr>
          <w:rFonts w:ascii="Century Schoolbook" w:hAnsi="Century Schoolbook" w:cs="Times New Roman"/>
          <w:sz w:val="24"/>
          <w:szCs w:val="24"/>
        </w:rPr>
        <w:t xml:space="preserve"> – </w:t>
      </w:r>
      <w:r w:rsidR="002E233A">
        <w:rPr>
          <w:rFonts w:ascii="Century Schoolbook" w:hAnsi="Century Schoolbook" w:cs="Times New Roman"/>
          <w:sz w:val="24"/>
          <w:szCs w:val="24"/>
        </w:rPr>
        <w:t>all under oath</w:t>
      </w:r>
      <w:r w:rsidR="00287C59">
        <w:rPr>
          <w:rFonts w:ascii="Century Schoolbook" w:hAnsi="Century Schoolbook" w:cs="Times New Roman"/>
          <w:sz w:val="24"/>
          <w:szCs w:val="24"/>
        </w:rPr>
        <w:t xml:space="preserve"> – </w:t>
      </w:r>
      <w:r w:rsidRPr="006C6879">
        <w:rPr>
          <w:rFonts w:ascii="Century Schoolbook" w:hAnsi="Century Schoolbook" w:cs="Times New Roman"/>
          <w:sz w:val="24"/>
          <w:szCs w:val="24"/>
        </w:rPr>
        <w:t xml:space="preserve">that </w:t>
      </w:r>
      <w:r w:rsidRPr="00A547E1">
        <w:rPr>
          <w:rFonts w:ascii="Century Schoolbook" w:hAnsi="Century Schoolbook" w:cs="Times New Roman"/>
          <w:sz w:val="24"/>
          <w:szCs w:val="24"/>
        </w:rPr>
        <w:t xml:space="preserve">no record whatsoever </w:t>
      </w:r>
      <w:r w:rsidRPr="00A547E1">
        <w:rPr>
          <w:rFonts w:ascii="Century Schoolbook" w:hAnsi="Century Schoolbook" w:cs="Times New Roman"/>
          <w:sz w:val="24"/>
          <w:szCs w:val="24"/>
        </w:rPr>
        <w:lastRenderedPageBreak/>
        <w:t>exists</w:t>
      </w:r>
      <w:r w:rsidRPr="006C6879">
        <w:rPr>
          <w:rFonts w:ascii="Century Schoolbook" w:hAnsi="Century Schoolbook" w:cs="Times New Roman"/>
          <w:sz w:val="24"/>
          <w:szCs w:val="24"/>
        </w:rPr>
        <w:t xml:space="preserve"> of any decision taken by any competent authority at LASA</w:t>
      </w:r>
      <w:r w:rsidR="00567EB7">
        <w:rPr>
          <w:rFonts w:ascii="Century Schoolbook" w:hAnsi="Century Schoolbook" w:cs="Times New Roman"/>
          <w:sz w:val="24"/>
          <w:szCs w:val="24"/>
        </w:rPr>
        <w:t>,</w:t>
      </w:r>
      <w:r w:rsidR="00F56520" w:rsidRPr="006C6879">
        <w:rPr>
          <w:rStyle w:val="FootnoteReference"/>
          <w:rFonts w:ascii="Century Schoolbook" w:hAnsi="Century Schoolbook" w:cs="Times New Roman"/>
          <w:sz w:val="24"/>
          <w:szCs w:val="24"/>
        </w:rPr>
        <w:footnoteReference w:id="149"/>
      </w:r>
      <w:r w:rsidRPr="006C6879">
        <w:rPr>
          <w:rFonts w:ascii="Century Schoolbook" w:hAnsi="Century Schoolbook" w:cs="Times New Roman"/>
          <w:sz w:val="24"/>
          <w:szCs w:val="24"/>
        </w:rPr>
        <w:t xml:space="preserve"> or </w:t>
      </w:r>
      <w:r w:rsidR="00567EB7">
        <w:rPr>
          <w:rFonts w:ascii="Century Schoolbook" w:hAnsi="Century Schoolbook" w:cs="Times New Roman"/>
          <w:sz w:val="24"/>
          <w:szCs w:val="24"/>
        </w:rPr>
        <w:t xml:space="preserve">indeed </w:t>
      </w:r>
      <w:r w:rsidRPr="006C6879">
        <w:rPr>
          <w:rFonts w:ascii="Century Schoolbook" w:hAnsi="Century Schoolbook" w:cs="Times New Roman"/>
          <w:sz w:val="24"/>
          <w:szCs w:val="24"/>
        </w:rPr>
        <w:t>by anyone at all</w:t>
      </w:r>
      <w:r w:rsidR="00567EB7">
        <w:rPr>
          <w:rFonts w:ascii="Century Schoolbook" w:hAnsi="Century Schoolbook" w:cs="Times New Roman"/>
          <w:sz w:val="24"/>
          <w:szCs w:val="24"/>
        </w:rPr>
        <w:t>,</w:t>
      </w:r>
      <w:r w:rsidR="00F56520" w:rsidRPr="006C6879">
        <w:rPr>
          <w:rStyle w:val="FootnoteReference"/>
          <w:rFonts w:ascii="Century Schoolbook" w:hAnsi="Century Schoolbook" w:cs="Times New Roman"/>
          <w:sz w:val="24"/>
          <w:szCs w:val="24"/>
        </w:rPr>
        <w:footnoteReference w:id="150"/>
      </w:r>
      <w:r w:rsidRPr="006C6879">
        <w:rPr>
          <w:rFonts w:ascii="Century Schoolbook" w:hAnsi="Century Schoolbook" w:cs="Times New Roman"/>
          <w:sz w:val="24"/>
          <w:szCs w:val="24"/>
        </w:rPr>
        <w:t xml:space="preserve"> to abort LASA’s substantially completed recruitment processes for its </w:t>
      </w:r>
      <w:r w:rsidR="00F16F31">
        <w:rPr>
          <w:rFonts w:ascii="Century Schoolbook" w:hAnsi="Century Schoolbook" w:cs="Times New Roman"/>
          <w:sz w:val="24"/>
          <w:szCs w:val="24"/>
        </w:rPr>
        <w:t xml:space="preserve">critical </w:t>
      </w:r>
      <w:r w:rsidRPr="006C6879">
        <w:rPr>
          <w:rFonts w:ascii="Century Schoolbook" w:hAnsi="Century Schoolbook" w:cs="Times New Roman"/>
          <w:sz w:val="24"/>
          <w:szCs w:val="24"/>
        </w:rPr>
        <w:t xml:space="preserve">Senior Litigator posts at Pietermaritzburg, Durban and </w:t>
      </w:r>
      <w:r w:rsidR="00DB1C0A">
        <w:rPr>
          <w:rFonts w:ascii="Century Schoolbook" w:hAnsi="Century Schoolbook" w:cs="Times New Roman"/>
          <w:sz w:val="24"/>
          <w:szCs w:val="24"/>
        </w:rPr>
        <w:t xml:space="preserve">later on at </w:t>
      </w:r>
      <w:r w:rsidRPr="006C6879">
        <w:rPr>
          <w:rFonts w:ascii="Century Schoolbook" w:hAnsi="Century Schoolbook" w:cs="Times New Roman"/>
          <w:sz w:val="24"/>
          <w:szCs w:val="24"/>
        </w:rPr>
        <w:t>Mthatha</w:t>
      </w:r>
      <w:r w:rsidR="00204063" w:rsidRPr="006C6879">
        <w:rPr>
          <w:rFonts w:ascii="Century Schoolbook" w:hAnsi="Century Schoolbook" w:cs="Times New Roman"/>
          <w:sz w:val="24"/>
          <w:szCs w:val="24"/>
        </w:rPr>
        <w:t>, for which suitable candidates had been selected and recommended,</w:t>
      </w:r>
      <w:r w:rsidRPr="006C6879">
        <w:rPr>
          <w:rFonts w:ascii="Century Schoolbook" w:hAnsi="Century Schoolbook" w:cs="Times New Roman"/>
          <w:sz w:val="24"/>
          <w:szCs w:val="24"/>
        </w:rPr>
        <w:t xml:space="preserve"> and to ‘freeze’</w:t>
      </w:r>
      <w:r w:rsidRPr="006C6879">
        <w:rPr>
          <w:rStyle w:val="FootnoteReference"/>
          <w:rFonts w:ascii="Century Schoolbook" w:hAnsi="Century Schoolbook" w:cs="Times New Roman"/>
          <w:sz w:val="24"/>
          <w:szCs w:val="24"/>
        </w:rPr>
        <w:footnoteReference w:id="151"/>
      </w:r>
      <w:r w:rsidRPr="006C6879">
        <w:rPr>
          <w:rFonts w:ascii="Century Schoolbook" w:hAnsi="Century Schoolbook" w:cs="Times New Roman"/>
          <w:sz w:val="24"/>
          <w:szCs w:val="24"/>
        </w:rPr>
        <w:t xml:space="preserve"> the</w:t>
      </w:r>
      <w:r w:rsidR="00204063" w:rsidRPr="006C6879">
        <w:rPr>
          <w:rFonts w:ascii="Century Schoolbook" w:hAnsi="Century Schoolbook" w:cs="Times New Roman"/>
          <w:sz w:val="24"/>
          <w:szCs w:val="24"/>
        </w:rPr>
        <w:t xml:space="preserve"> post</w:t>
      </w:r>
      <w:r w:rsidR="009C429D">
        <w:rPr>
          <w:rFonts w:ascii="Century Schoolbook" w:hAnsi="Century Schoolbook" w:cs="Times New Roman"/>
          <w:sz w:val="24"/>
          <w:szCs w:val="24"/>
        </w:rPr>
        <w:t>s</w:t>
      </w:r>
      <w:r w:rsidR="00864AD2">
        <w:rPr>
          <w:rFonts w:ascii="Century Schoolbook" w:hAnsi="Century Schoolbook" w:cs="Times New Roman"/>
          <w:sz w:val="24"/>
          <w:szCs w:val="24"/>
        </w:rPr>
        <w:t>,</w:t>
      </w:r>
      <w:r w:rsidRPr="006C6879">
        <w:rPr>
          <w:rFonts w:ascii="Century Schoolbook" w:hAnsi="Century Schoolbook" w:cs="Times New Roman"/>
          <w:sz w:val="24"/>
          <w:szCs w:val="24"/>
        </w:rPr>
        <w:t xml:space="preserve"> for any reason.</w:t>
      </w:r>
      <w:r w:rsidRPr="006C6879">
        <w:rPr>
          <w:rStyle w:val="FootnoteReference"/>
          <w:rFonts w:ascii="Century Schoolbook" w:hAnsi="Century Schoolbook" w:cs="Times New Roman"/>
          <w:sz w:val="24"/>
          <w:szCs w:val="24"/>
        </w:rPr>
        <w:footnoteReference w:id="152"/>
      </w:r>
      <w:r w:rsidR="00204063" w:rsidRPr="006C6879">
        <w:rPr>
          <w:rFonts w:ascii="Century Schoolbook" w:hAnsi="Century Schoolbook" w:cs="Times New Roman"/>
          <w:sz w:val="24"/>
          <w:szCs w:val="24"/>
        </w:rPr>
        <w:t xml:space="preserve"> </w:t>
      </w:r>
    </w:p>
    <w:p w:rsidR="00F56520" w:rsidRPr="00EE623F" w:rsidRDefault="00204063" w:rsidP="00F56520">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EE623F">
        <w:rPr>
          <w:rFonts w:ascii="Century Schoolbook" w:hAnsi="Century Schoolbook" w:cs="Times New Roman"/>
          <w:sz w:val="24"/>
          <w:szCs w:val="24"/>
        </w:rPr>
        <w:t xml:space="preserve">In </w:t>
      </w:r>
      <w:r w:rsidR="00E336DA">
        <w:rPr>
          <w:rFonts w:ascii="Century Schoolbook" w:hAnsi="Century Schoolbook" w:cs="Times New Roman"/>
          <w:sz w:val="24"/>
          <w:szCs w:val="24"/>
        </w:rPr>
        <w:t>sum</w:t>
      </w:r>
      <w:r w:rsidRPr="00EE623F">
        <w:rPr>
          <w:rFonts w:ascii="Century Schoolbook" w:hAnsi="Century Schoolbook" w:cs="Times New Roman"/>
          <w:sz w:val="24"/>
          <w:szCs w:val="24"/>
        </w:rPr>
        <w:t xml:space="preserve">, for ten years three budgeted and funded critical </w:t>
      </w:r>
      <w:r w:rsidR="001C6D55" w:rsidRPr="00EE623F">
        <w:rPr>
          <w:rFonts w:ascii="Century Schoolbook" w:hAnsi="Century Schoolbook" w:cs="Times New Roman"/>
          <w:sz w:val="24"/>
          <w:szCs w:val="24"/>
        </w:rPr>
        <w:t xml:space="preserve">specialist </w:t>
      </w:r>
      <w:r w:rsidRPr="00EE623F">
        <w:rPr>
          <w:rFonts w:ascii="Century Schoolbook" w:hAnsi="Century Schoolbook" w:cs="Times New Roman"/>
          <w:sz w:val="24"/>
          <w:szCs w:val="24"/>
        </w:rPr>
        <w:t xml:space="preserve">legal professional posts have unlawfully </w:t>
      </w:r>
      <w:r w:rsidR="005A6AF9" w:rsidRPr="00EE623F">
        <w:rPr>
          <w:rFonts w:ascii="Century Schoolbook" w:hAnsi="Century Schoolbook" w:cs="Times New Roman"/>
          <w:sz w:val="24"/>
          <w:szCs w:val="24"/>
        </w:rPr>
        <w:t xml:space="preserve">deliberately </w:t>
      </w:r>
      <w:r w:rsidRPr="00EE623F">
        <w:rPr>
          <w:rFonts w:ascii="Century Schoolbook" w:hAnsi="Century Schoolbook" w:cs="Times New Roman"/>
          <w:sz w:val="24"/>
          <w:szCs w:val="24"/>
        </w:rPr>
        <w:t xml:space="preserve">been kept vacant without any record of any decision of this extraordinarily important </w:t>
      </w:r>
      <w:r w:rsidR="009F2B68" w:rsidRPr="00EE623F">
        <w:rPr>
          <w:rFonts w:ascii="Century Schoolbook" w:hAnsi="Century Schoolbook" w:cs="Times New Roman"/>
          <w:sz w:val="24"/>
          <w:szCs w:val="24"/>
        </w:rPr>
        <w:t xml:space="preserve">financial </w:t>
      </w:r>
      <w:r w:rsidR="00323D2C">
        <w:rPr>
          <w:rFonts w:ascii="Century Schoolbook" w:hAnsi="Century Schoolbook" w:cs="Times New Roman"/>
          <w:sz w:val="24"/>
          <w:szCs w:val="24"/>
        </w:rPr>
        <w:t xml:space="preserve">and operational </w:t>
      </w:r>
      <w:r w:rsidRPr="00EE623F">
        <w:rPr>
          <w:rFonts w:ascii="Century Schoolbook" w:hAnsi="Century Schoolbook" w:cs="Times New Roman"/>
          <w:sz w:val="24"/>
          <w:szCs w:val="24"/>
        </w:rPr>
        <w:t>decision</w:t>
      </w:r>
      <w:r w:rsidR="00E44FFB" w:rsidRPr="00EE623F">
        <w:rPr>
          <w:rFonts w:ascii="Century Schoolbook" w:hAnsi="Century Schoolbook" w:cs="Times New Roman"/>
          <w:sz w:val="24"/>
          <w:szCs w:val="24"/>
        </w:rPr>
        <w:t xml:space="preserve"> involving many millions of rands</w:t>
      </w:r>
      <w:r w:rsidR="00D40514">
        <w:rPr>
          <w:rFonts w:ascii="Century Schoolbook" w:hAnsi="Century Schoolbook" w:cs="Times New Roman"/>
          <w:sz w:val="24"/>
          <w:szCs w:val="24"/>
        </w:rPr>
        <w:t xml:space="preserve"> and hugely affecting critical service delivery</w:t>
      </w:r>
      <w:r w:rsidR="00037F92">
        <w:rPr>
          <w:rFonts w:ascii="Century Schoolbook" w:hAnsi="Century Schoolbook" w:cs="Times New Roman"/>
          <w:sz w:val="24"/>
          <w:szCs w:val="24"/>
        </w:rPr>
        <w:t>.</w:t>
      </w:r>
      <w:r w:rsidR="007B2FE7">
        <w:rPr>
          <w:rStyle w:val="FootnoteReference"/>
          <w:rFonts w:ascii="Century Schoolbook" w:hAnsi="Century Schoolbook" w:cs="Times New Roman"/>
          <w:sz w:val="24"/>
          <w:szCs w:val="24"/>
        </w:rPr>
        <w:footnoteReference w:id="153"/>
      </w:r>
      <w:r w:rsidR="00037F92">
        <w:rPr>
          <w:rFonts w:ascii="Century Schoolbook" w:hAnsi="Century Schoolbook" w:cs="Times New Roman"/>
          <w:sz w:val="24"/>
          <w:szCs w:val="24"/>
        </w:rPr>
        <w:t xml:space="preserve"> </w:t>
      </w:r>
      <w:r w:rsidR="00323D2C">
        <w:rPr>
          <w:rFonts w:ascii="Century Schoolbook" w:hAnsi="Century Schoolbook" w:cs="Times New Roman"/>
          <w:sz w:val="24"/>
          <w:szCs w:val="24"/>
        </w:rPr>
        <w:t>Besides contravening section</w:t>
      </w:r>
      <w:r w:rsidR="0043023E">
        <w:rPr>
          <w:rFonts w:ascii="Century Schoolbook" w:hAnsi="Century Schoolbook" w:cs="Times New Roman"/>
          <w:sz w:val="24"/>
          <w:szCs w:val="24"/>
        </w:rPr>
        <w:t xml:space="preserve"> 12 of LASA’s Code of Conduct and Ethics, this </w:t>
      </w:r>
      <w:r w:rsidR="00D40514">
        <w:rPr>
          <w:rFonts w:ascii="Century Schoolbook" w:hAnsi="Century Schoolbook" w:cs="Times New Roman"/>
          <w:sz w:val="24"/>
          <w:szCs w:val="24"/>
        </w:rPr>
        <w:t xml:space="preserve">gross irregularity </w:t>
      </w:r>
      <w:r w:rsidR="001C6D55">
        <w:rPr>
          <w:rFonts w:ascii="Century Schoolbook" w:hAnsi="Century Schoolbook" w:cs="Times New Roman"/>
          <w:sz w:val="24"/>
          <w:szCs w:val="24"/>
        </w:rPr>
        <w:t xml:space="preserve">in not making and keeping a record of the decision </w:t>
      </w:r>
      <w:r w:rsidR="001C6D55">
        <w:rPr>
          <w:rFonts w:ascii="Century Schoolbook" w:hAnsi="Century Schoolbook" w:cs="Times New Roman"/>
          <w:sz w:val="24"/>
          <w:szCs w:val="24"/>
        </w:rPr>
        <w:lastRenderedPageBreak/>
        <w:t xml:space="preserve">to abort the recruitments and ‘freeze’ the posts (for wildly disparate reasons given </w:t>
      </w:r>
      <w:r w:rsidR="00287C59">
        <w:rPr>
          <w:rFonts w:ascii="Century Schoolbook" w:hAnsi="Century Schoolbook" w:cs="Times New Roman"/>
          <w:sz w:val="24"/>
          <w:szCs w:val="24"/>
        </w:rPr>
        <w:t xml:space="preserve">much </w:t>
      </w:r>
      <w:r w:rsidR="001C6D55">
        <w:rPr>
          <w:rFonts w:ascii="Century Schoolbook" w:hAnsi="Century Schoolbook" w:cs="Times New Roman"/>
          <w:sz w:val="24"/>
          <w:szCs w:val="24"/>
        </w:rPr>
        <w:t>later</w:t>
      </w:r>
      <w:r w:rsidR="00287C59" w:rsidRPr="00287C59">
        <w:rPr>
          <w:rFonts w:ascii="Century Schoolbook" w:hAnsi="Century Schoolbook" w:cs="Times New Roman"/>
          <w:sz w:val="24"/>
          <w:szCs w:val="24"/>
        </w:rPr>
        <w:t xml:space="preserve"> </w:t>
      </w:r>
      <w:r w:rsidR="00287C59">
        <w:rPr>
          <w:rFonts w:ascii="Century Schoolbook" w:hAnsi="Century Schoolbook" w:cs="Times New Roman"/>
          <w:sz w:val="24"/>
          <w:szCs w:val="24"/>
        </w:rPr>
        <w:t>under pressure to account</w:t>
      </w:r>
      <w:r w:rsidR="001C6D55">
        <w:rPr>
          <w:rFonts w:ascii="Century Schoolbook" w:hAnsi="Century Schoolbook" w:cs="Times New Roman"/>
          <w:sz w:val="24"/>
          <w:szCs w:val="24"/>
        </w:rPr>
        <w:t xml:space="preserve">) </w:t>
      </w:r>
      <w:r w:rsidR="00037F92" w:rsidRPr="00EE623F">
        <w:rPr>
          <w:rFonts w:ascii="Century Schoolbook" w:hAnsi="Century Schoolbook" w:cs="Times New Roman"/>
          <w:sz w:val="24"/>
          <w:szCs w:val="24"/>
        </w:rPr>
        <w:t>contraven</w:t>
      </w:r>
      <w:r w:rsidR="00722E29">
        <w:rPr>
          <w:rFonts w:ascii="Century Schoolbook" w:hAnsi="Century Schoolbook" w:cs="Times New Roman"/>
          <w:sz w:val="24"/>
          <w:szCs w:val="24"/>
        </w:rPr>
        <w:t xml:space="preserve">es </w:t>
      </w:r>
      <w:r w:rsidR="00037F92" w:rsidRPr="00EE623F">
        <w:rPr>
          <w:rFonts w:ascii="Century Schoolbook" w:hAnsi="Century Schoolbook"/>
          <w:color w:val="222222"/>
          <w:sz w:val="24"/>
          <w:szCs w:val="24"/>
          <w:shd w:val="clear" w:color="auto" w:fill="FFFFFF"/>
        </w:rPr>
        <w:t xml:space="preserve">section 55(1)(a) </w:t>
      </w:r>
      <w:r w:rsidR="00037F92" w:rsidRPr="00EE623F">
        <w:rPr>
          <w:rFonts w:ascii="Century Schoolbook" w:hAnsi="Century Schoolbook" w:cs="Times New Roman"/>
          <w:sz w:val="24"/>
          <w:szCs w:val="24"/>
        </w:rPr>
        <w:t>of the PFMA</w:t>
      </w:r>
      <w:r w:rsidR="00722E29">
        <w:rPr>
          <w:rFonts w:ascii="Century Schoolbook" w:hAnsi="Century Schoolbook" w:cs="Times New Roman"/>
          <w:sz w:val="24"/>
          <w:szCs w:val="24"/>
        </w:rPr>
        <w:t xml:space="preserve"> and </w:t>
      </w:r>
      <w:r w:rsidR="00B9347F">
        <w:rPr>
          <w:rFonts w:ascii="Century Schoolbook" w:hAnsi="Century Schoolbook" w:cs="Times New Roman"/>
          <w:sz w:val="24"/>
          <w:szCs w:val="24"/>
        </w:rPr>
        <w:t>constitutes</w:t>
      </w:r>
      <w:r w:rsidR="00EE623F" w:rsidRPr="00EE623F">
        <w:rPr>
          <w:rFonts w:ascii="Century Schoolbook" w:hAnsi="Century Schoolbook" w:cs="Times New Roman"/>
          <w:sz w:val="24"/>
          <w:szCs w:val="24"/>
        </w:rPr>
        <w:t xml:space="preserve"> </w:t>
      </w:r>
      <w:r w:rsidR="00EE623F">
        <w:rPr>
          <w:rFonts w:ascii="Century Schoolbook" w:hAnsi="Century Schoolbook" w:cs="Times New Roman"/>
          <w:sz w:val="24"/>
          <w:szCs w:val="24"/>
        </w:rPr>
        <w:t>criminal</w:t>
      </w:r>
      <w:r w:rsidR="004B110B" w:rsidRPr="00EE623F">
        <w:rPr>
          <w:rFonts w:ascii="Century Schoolbook" w:hAnsi="Century Schoolbook" w:cs="Times New Roman"/>
          <w:sz w:val="24"/>
          <w:szCs w:val="24"/>
        </w:rPr>
        <w:t xml:space="preserve"> </w:t>
      </w:r>
      <w:r w:rsidR="00B9347F">
        <w:rPr>
          <w:rFonts w:ascii="Century Schoolbook" w:hAnsi="Century Schoolbook" w:cs="Times New Roman"/>
          <w:sz w:val="24"/>
          <w:szCs w:val="24"/>
        </w:rPr>
        <w:t xml:space="preserve">financial misconduct </w:t>
      </w:r>
      <w:r w:rsidR="00F56520" w:rsidRPr="00EE623F">
        <w:rPr>
          <w:rFonts w:ascii="Century Schoolbook" w:hAnsi="Century Schoolbook"/>
          <w:color w:val="222222"/>
          <w:sz w:val="24"/>
          <w:szCs w:val="24"/>
          <w:shd w:val="clear" w:color="auto" w:fill="FFFFFF"/>
        </w:rPr>
        <w:t>under section 86(2):</w:t>
      </w:r>
    </w:p>
    <w:p w:rsidR="00204063" w:rsidRPr="006C6879" w:rsidRDefault="00204063" w:rsidP="00204063">
      <w:pPr>
        <w:pStyle w:val="ListParagraph"/>
        <w:tabs>
          <w:tab w:val="left" w:pos="426"/>
          <w:tab w:val="left" w:pos="709"/>
        </w:tabs>
        <w:spacing w:line="360" w:lineRule="auto"/>
        <w:contextualSpacing w:val="0"/>
        <w:rPr>
          <w:rFonts w:ascii="Century Schoolbook" w:hAnsi="Century Schoolbook"/>
          <w:color w:val="222222"/>
          <w:sz w:val="24"/>
          <w:szCs w:val="24"/>
          <w:shd w:val="clear" w:color="auto" w:fill="FFFFFF"/>
        </w:rPr>
      </w:pPr>
      <w:r w:rsidRPr="006C6879">
        <w:rPr>
          <w:rFonts w:ascii="Century Schoolbook" w:hAnsi="Century Schoolbook"/>
          <w:color w:val="222222"/>
          <w:sz w:val="24"/>
          <w:szCs w:val="24"/>
          <w:shd w:val="clear" w:color="auto" w:fill="FFFFFF"/>
        </w:rPr>
        <w:t xml:space="preserve">An accounting authority is guilty of an offence and liable on conviction to a fine, or to imprisonment for a period not exceeding five years, if that accounting authority wilfully or in a grossly negligent way fails to comply with a provision of section </w:t>
      </w:r>
      <w:r w:rsidR="00EE623F">
        <w:rPr>
          <w:rFonts w:ascii="Century Schoolbook" w:hAnsi="Century Schoolbook"/>
          <w:color w:val="222222"/>
          <w:sz w:val="24"/>
          <w:szCs w:val="24"/>
          <w:shd w:val="clear" w:color="auto" w:fill="FFFFFF"/>
        </w:rPr>
        <w:t>...</w:t>
      </w:r>
      <w:r w:rsidRPr="006C6879">
        <w:rPr>
          <w:rFonts w:ascii="Century Schoolbook" w:hAnsi="Century Schoolbook"/>
          <w:color w:val="222222"/>
          <w:sz w:val="24"/>
          <w:szCs w:val="24"/>
          <w:shd w:val="clear" w:color="auto" w:fill="FFFFFF"/>
        </w:rPr>
        <w:t xml:space="preserve"> 55.</w:t>
      </w:r>
    </w:p>
    <w:p w:rsidR="00E336DA" w:rsidRDefault="00E336DA" w:rsidP="00E336DA">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The unauthorised, off-the-record decision to abort the</w:t>
      </w:r>
      <w:r w:rsidRPr="009B3503">
        <w:rPr>
          <w:rFonts w:ascii="Century Schoolbook" w:hAnsi="Century Schoolbook" w:cs="Times New Roman"/>
          <w:sz w:val="24"/>
          <w:szCs w:val="24"/>
        </w:rPr>
        <w:t xml:space="preserve"> </w:t>
      </w:r>
      <w:r>
        <w:rPr>
          <w:rFonts w:ascii="Century Schoolbook" w:hAnsi="Century Schoolbook" w:cs="Times New Roman"/>
          <w:sz w:val="24"/>
          <w:szCs w:val="24"/>
        </w:rPr>
        <w:t>Pietermaritzburg, Durban and Mthatha Senior Litigator recruitments after the selection and recommendation</w:t>
      </w:r>
      <w:r w:rsidRPr="00027C37">
        <w:rPr>
          <w:rFonts w:ascii="Century Schoolbook" w:hAnsi="Century Schoolbook" w:cs="Times New Roman"/>
          <w:sz w:val="24"/>
          <w:szCs w:val="24"/>
        </w:rPr>
        <w:t xml:space="preserve"> of suitable candidates for appointment to the posts, and the indefinite and practically permanent ‘freezing’ of the </w:t>
      </w:r>
      <w:r>
        <w:rPr>
          <w:rFonts w:ascii="Century Schoolbook" w:hAnsi="Century Schoolbook" w:cs="Times New Roman"/>
          <w:sz w:val="24"/>
          <w:szCs w:val="24"/>
        </w:rPr>
        <w:t xml:space="preserve">top professional </w:t>
      </w:r>
      <w:r w:rsidRPr="00027C37">
        <w:rPr>
          <w:rFonts w:ascii="Century Schoolbook" w:hAnsi="Century Schoolbook" w:cs="Times New Roman"/>
          <w:sz w:val="24"/>
          <w:szCs w:val="24"/>
        </w:rPr>
        <w:t xml:space="preserve">posts </w:t>
      </w:r>
      <w:r>
        <w:rPr>
          <w:rFonts w:ascii="Century Schoolbook" w:hAnsi="Century Schoolbook" w:cs="Times New Roman"/>
          <w:sz w:val="24"/>
          <w:szCs w:val="24"/>
        </w:rPr>
        <w:t xml:space="preserve">– </w:t>
      </w:r>
      <w:r w:rsidRPr="00027C37">
        <w:rPr>
          <w:rFonts w:ascii="Century Schoolbook" w:hAnsi="Century Schoolbook" w:cs="Times New Roman"/>
          <w:sz w:val="24"/>
          <w:szCs w:val="24"/>
        </w:rPr>
        <w:t xml:space="preserve">for a decade now </w:t>
      </w:r>
      <w:r>
        <w:rPr>
          <w:rFonts w:ascii="Century Schoolbook" w:hAnsi="Century Schoolbook" w:cs="Times New Roman"/>
          <w:sz w:val="24"/>
          <w:szCs w:val="24"/>
        </w:rPr>
        <w:t xml:space="preserve">– </w:t>
      </w:r>
      <w:r w:rsidRPr="00027C37">
        <w:rPr>
          <w:rFonts w:ascii="Century Schoolbook" w:hAnsi="Century Schoolbook" w:cs="Times New Roman"/>
          <w:sz w:val="24"/>
          <w:szCs w:val="24"/>
        </w:rPr>
        <w:t>was a major change to LASA’s Strategic and Business Plans.</w:t>
      </w:r>
      <w:r>
        <w:rPr>
          <w:rFonts w:ascii="Century Schoolbook" w:hAnsi="Century Schoolbook" w:cs="Times New Roman"/>
          <w:sz w:val="24"/>
          <w:szCs w:val="24"/>
        </w:rPr>
        <w:t xml:space="preserve"> </w:t>
      </w:r>
      <w:r>
        <w:rPr>
          <w:rFonts w:ascii="Century Schoolbook" w:hAnsi="Century Schoolbook" w:cs="Calibri"/>
          <w:color w:val="000000" w:themeColor="text1"/>
          <w:sz w:val="24"/>
          <w:szCs w:val="24"/>
        </w:rPr>
        <w:t>S</w:t>
      </w:r>
      <w:r w:rsidRPr="00027C37">
        <w:rPr>
          <w:rFonts w:ascii="Century Schoolbook" w:hAnsi="Century Schoolbook" w:cs="Calibri"/>
          <w:color w:val="000000" w:themeColor="text1"/>
          <w:sz w:val="24"/>
          <w:szCs w:val="24"/>
        </w:rPr>
        <w:t>ection 1.1 of the Approval Framework</w:t>
      </w:r>
      <w:r w:rsidRPr="00222EE9">
        <w:rPr>
          <w:rFonts w:ascii="Century Schoolbook" w:hAnsi="Century Schoolbook" w:cs="Calibri"/>
          <w:color w:val="000000" w:themeColor="text1"/>
          <w:sz w:val="24"/>
          <w:szCs w:val="24"/>
        </w:rPr>
        <w:t xml:space="preserve"> </w:t>
      </w:r>
      <w:r w:rsidRPr="00027C37">
        <w:rPr>
          <w:rFonts w:ascii="Century Schoolbook" w:hAnsi="Century Schoolbook" w:cs="Calibri"/>
          <w:color w:val="000000" w:themeColor="text1"/>
          <w:sz w:val="24"/>
          <w:szCs w:val="24"/>
        </w:rPr>
        <w:t>require</w:t>
      </w:r>
      <w:r w:rsidR="001C6D55">
        <w:rPr>
          <w:rFonts w:ascii="Century Schoolbook" w:hAnsi="Century Schoolbook" w:cs="Calibri"/>
          <w:color w:val="000000" w:themeColor="text1"/>
          <w:sz w:val="24"/>
          <w:szCs w:val="24"/>
        </w:rPr>
        <w:t>d</w:t>
      </w:r>
      <w:r w:rsidRPr="00027C37">
        <w:rPr>
          <w:rFonts w:ascii="Century Schoolbook" w:hAnsi="Century Schoolbook" w:cs="Calibri"/>
          <w:color w:val="000000" w:themeColor="text1"/>
          <w:sz w:val="24"/>
          <w:szCs w:val="24"/>
        </w:rPr>
        <w:t xml:space="preserve"> the Board</w:t>
      </w:r>
      <w:r>
        <w:rPr>
          <w:rFonts w:ascii="Century Schoolbook" w:hAnsi="Century Schoolbook" w:cs="Calibri"/>
          <w:color w:val="000000" w:themeColor="text1"/>
          <w:sz w:val="24"/>
          <w:szCs w:val="24"/>
        </w:rPr>
        <w:t>’s</w:t>
      </w:r>
      <w:r w:rsidRPr="00027C37">
        <w:rPr>
          <w:rFonts w:ascii="Century Schoolbook" w:hAnsi="Century Schoolbook" w:cs="Calibri"/>
          <w:color w:val="000000" w:themeColor="text1"/>
          <w:sz w:val="24"/>
          <w:szCs w:val="24"/>
        </w:rPr>
        <w:t xml:space="preserve"> ‘Final approval’</w:t>
      </w:r>
      <w:r>
        <w:rPr>
          <w:rStyle w:val="FootnoteReference"/>
          <w:rFonts w:ascii="Century Schoolbook" w:hAnsi="Century Schoolbook" w:cs="Calibri"/>
          <w:color w:val="000000" w:themeColor="text1"/>
          <w:sz w:val="24"/>
          <w:szCs w:val="24"/>
        </w:rPr>
        <w:footnoteReference w:id="154"/>
      </w:r>
      <w:r w:rsidRPr="00DD11D0">
        <w:rPr>
          <w:rFonts w:ascii="Century Schoolbook" w:hAnsi="Century Schoolbook" w:cs="Times New Roman"/>
          <w:sz w:val="24"/>
          <w:szCs w:val="24"/>
        </w:rPr>
        <w:t xml:space="preserve"> </w:t>
      </w:r>
      <w:r>
        <w:rPr>
          <w:rFonts w:ascii="Century Schoolbook" w:hAnsi="Century Schoolbook" w:cs="Times New Roman"/>
          <w:sz w:val="24"/>
          <w:szCs w:val="24"/>
        </w:rPr>
        <w:t>f</w:t>
      </w:r>
      <w:r w:rsidRPr="00027C37">
        <w:rPr>
          <w:rFonts w:ascii="Century Schoolbook" w:hAnsi="Century Schoolbook" w:cs="Calibri"/>
          <w:color w:val="000000" w:themeColor="text1"/>
          <w:sz w:val="24"/>
          <w:szCs w:val="24"/>
        </w:rPr>
        <w:t xml:space="preserve">or any change to LASA’s </w:t>
      </w:r>
      <w:r w:rsidR="00997381">
        <w:rPr>
          <w:rFonts w:ascii="Century Schoolbook" w:hAnsi="Century Schoolbook" w:cs="Calibri"/>
          <w:color w:val="000000" w:themeColor="text1"/>
          <w:sz w:val="24"/>
          <w:szCs w:val="24"/>
        </w:rPr>
        <w:t>‘</w:t>
      </w:r>
      <w:r w:rsidRPr="00027C37">
        <w:rPr>
          <w:rFonts w:ascii="Century Schoolbook" w:hAnsi="Century Schoolbook" w:cs="Calibri"/>
          <w:color w:val="000000" w:themeColor="text1"/>
          <w:sz w:val="24"/>
          <w:szCs w:val="24"/>
        </w:rPr>
        <w:t>Strategic Plan</w:t>
      </w:r>
      <w:r w:rsidR="00997381">
        <w:rPr>
          <w:rFonts w:ascii="Century Schoolbook" w:hAnsi="Century Schoolbook" w:cs="Calibri"/>
          <w:color w:val="000000" w:themeColor="text1"/>
          <w:sz w:val="24"/>
          <w:szCs w:val="24"/>
        </w:rPr>
        <w:t>’</w:t>
      </w:r>
      <w:r>
        <w:rPr>
          <w:rFonts w:ascii="Century Schoolbook" w:hAnsi="Century Schoolbook" w:cs="Calibri"/>
          <w:color w:val="000000" w:themeColor="text1"/>
          <w:sz w:val="24"/>
          <w:szCs w:val="24"/>
        </w:rPr>
        <w:t>, and</w:t>
      </w:r>
      <w:r w:rsidRPr="00027C37">
        <w:rPr>
          <w:rFonts w:ascii="Century Schoolbook" w:hAnsi="Century Schoolbook" w:cs="Calibri"/>
          <w:color w:val="000000" w:themeColor="text1"/>
          <w:sz w:val="24"/>
          <w:szCs w:val="24"/>
        </w:rPr>
        <w:t xml:space="preserve"> </w:t>
      </w:r>
      <w:r>
        <w:rPr>
          <w:rFonts w:ascii="Century Schoolbook" w:hAnsi="Century Schoolbook" w:cs="Calibri"/>
          <w:color w:val="000000" w:themeColor="text1"/>
          <w:sz w:val="24"/>
          <w:szCs w:val="24"/>
        </w:rPr>
        <w:t>s</w:t>
      </w:r>
      <w:r w:rsidRPr="00027C37">
        <w:rPr>
          <w:rFonts w:ascii="Century Schoolbook" w:hAnsi="Century Schoolbook" w:cs="Calibri"/>
          <w:color w:val="000000" w:themeColor="text1"/>
          <w:sz w:val="24"/>
          <w:szCs w:val="24"/>
        </w:rPr>
        <w:t>ection 1.2 require</w:t>
      </w:r>
      <w:r w:rsidR="001C6D55">
        <w:rPr>
          <w:rFonts w:ascii="Century Schoolbook" w:hAnsi="Century Schoolbook" w:cs="Calibri"/>
          <w:color w:val="000000" w:themeColor="text1"/>
          <w:sz w:val="24"/>
          <w:szCs w:val="24"/>
        </w:rPr>
        <w:t>d</w:t>
      </w:r>
      <w:r w:rsidRPr="00027C37">
        <w:rPr>
          <w:rFonts w:ascii="Century Schoolbook" w:hAnsi="Century Schoolbook" w:cs="Calibri"/>
          <w:color w:val="000000" w:themeColor="text1"/>
          <w:sz w:val="24"/>
          <w:szCs w:val="24"/>
        </w:rPr>
        <w:t xml:space="preserve"> that the Board ‘Must be consulted (before)’</w:t>
      </w:r>
      <w:r w:rsidRPr="00027C37">
        <w:rPr>
          <w:rStyle w:val="FootnoteReference"/>
          <w:rFonts w:ascii="Century Schoolbook" w:hAnsi="Century Schoolbook" w:cs="Calibri"/>
          <w:color w:val="000000" w:themeColor="text1"/>
          <w:sz w:val="24"/>
          <w:szCs w:val="24"/>
        </w:rPr>
        <w:footnoteReference w:id="155"/>
      </w:r>
      <w:r>
        <w:rPr>
          <w:rFonts w:ascii="Century Schoolbook" w:hAnsi="Century Schoolbook" w:cs="Calibri"/>
          <w:color w:val="000000" w:themeColor="text1"/>
          <w:sz w:val="24"/>
          <w:szCs w:val="24"/>
        </w:rPr>
        <w:t xml:space="preserve"> </w:t>
      </w:r>
      <w:r w:rsidR="00352E35">
        <w:rPr>
          <w:rFonts w:ascii="Century Schoolbook" w:hAnsi="Century Schoolbook" w:cs="Calibri"/>
          <w:color w:val="000000" w:themeColor="text1"/>
          <w:sz w:val="24"/>
          <w:szCs w:val="24"/>
        </w:rPr>
        <w:t>executive management</w:t>
      </w:r>
      <w:r w:rsidRPr="00027C37">
        <w:rPr>
          <w:rFonts w:ascii="Century Schoolbook" w:hAnsi="Century Schoolbook" w:cs="Calibri"/>
          <w:color w:val="000000" w:themeColor="text1"/>
          <w:sz w:val="24"/>
          <w:szCs w:val="24"/>
        </w:rPr>
        <w:t xml:space="preserve"> change</w:t>
      </w:r>
      <w:r w:rsidR="00352E35">
        <w:rPr>
          <w:rFonts w:ascii="Century Schoolbook" w:hAnsi="Century Schoolbook" w:cs="Calibri"/>
          <w:color w:val="000000" w:themeColor="text1"/>
          <w:sz w:val="24"/>
          <w:szCs w:val="24"/>
        </w:rPr>
        <w:t>d</w:t>
      </w:r>
      <w:r w:rsidRPr="00027C37">
        <w:rPr>
          <w:rFonts w:ascii="Century Schoolbook" w:hAnsi="Century Schoolbook" w:cs="Calibri"/>
          <w:color w:val="000000" w:themeColor="text1"/>
          <w:sz w:val="24"/>
          <w:szCs w:val="24"/>
        </w:rPr>
        <w:t xml:space="preserve"> the </w:t>
      </w:r>
      <w:r w:rsidR="00997381">
        <w:rPr>
          <w:rFonts w:ascii="Century Schoolbook" w:hAnsi="Century Schoolbook" w:cs="Calibri"/>
          <w:color w:val="000000" w:themeColor="text1"/>
          <w:sz w:val="24"/>
          <w:szCs w:val="24"/>
        </w:rPr>
        <w:t>‘</w:t>
      </w:r>
      <w:r w:rsidRPr="00027C37">
        <w:rPr>
          <w:rFonts w:ascii="Century Schoolbook" w:hAnsi="Century Schoolbook" w:cs="Calibri"/>
          <w:color w:val="000000" w:themeColor="text1"/>
          <w:sz w:val="24"/>
          <w:szCs w:val="24"/>
        </w:rPr>
        <w:t>Business Plan</w:t>
      </w:r>
      <w:r w:rsidR="00997381">
        <w:rPr>
          <w:rFonts w:ascii="Century Schoolbook" w:hAnsi="Century Schoolbook" w:cs="Calibri"/>
          <w:color w:val="000000" w:themeColor="text1"/>
          <w:sz w:val="24"/>
          <w:szCs w:val="24"/>
        </w:rPr>
        <w:t>’</w:t>
      </w:r>
      <w:r w:rsidRPr="00027C37">
        <w:rPr>
          <w:rFonts w:ascii="Century Schoolbook" w:hAnsi="Century Schoolbook" w:cs="Calibri"/>
          <w:color w:val="000000" w:themeColor="text1"/>
          <w:sz w:val="24"/>
          <w:szCs w:val="24"/>
        </w:rPr>
        <w:t xml:space="preserve">. But as </w:t>
      </w:r>
      <w:r w:rsidRPr="00027C37">
        <w:rPr>
          <w:rFonts w:ascii="Century Schoolbook" w:hAnsi="Century Schoolbook" w:cs="Times New Roman"/>
          <w:sz w:val="24"/>
          <w:szCs w:val="24"/>
        </w:rPr>
        <w:t xml:space="preserve">NOE Nair confirmed on </w:t>
      </w:r>
      <w:r>
        <w:rPr>
          <w:rFonts w:ascii="Century Schoolbook" w:hAnsi="Century Schoolbook" w:cs="Times New Roman"/>
          <w:sz w:val="24"/>
          <w:szCs w:val="24"/>
        </w:rPr>
        <w:t>affidavit</w:t>
      </w:r>
      <w:r w:rsidR="003C5D62">
        <w:rPr>
          <w:rFonts w:ascii="Century Schoolbook" w:hAnsi="Century Schoolbook" w:cs="Times New Roman"/>
          <w:sz w:val="24"/>
          <w:szCs w:val="24"/>
        </w:rPr>
        <w:t xml:space="preserve"> in April 2011</w:t>
      </w:r>
      <w:r w:rsidRPr="00027C37">
        <w:rPr>
          <w:rFonts w:ascii="Century Schoolbook" w:hAnsi="Century Schoolbook" w:cs="Times New Roman"/>
          <w:sz w:val="24"/>
          <w:szCs w:val="24"/>
        </w:rPr>
        <w:t>: ‘The Board was ... not informed of the decision’</w:t>
      </w:r>
      <w:r>
        <w:rPr>
          <w:rFonts w:ascii="Century Schoolbook" w:hAnsi="Century Schoolbook" w:cs="Times New Roman"/>
          <w:sz w:val="24"/>
          <w:szCs w:val="24"/>
        </w:rPr>
        <w:t>.</w:t>
      </w:r>
      <w:r w:rsidRPr="00027C37">
        <w:rPr>
          <w:rStyle w:val="FootnoteReference"/>
          <w:rFonts w:ascii="Century Schoolbook" w:hAnsi="Century Schoolbook" w:cs="Times New Roman"/>
          <w:sz w:val="24"/>
          <w:szCs w:val="24"/>
        </w:rPr>
        <w:footnoteReference w:id="156"/>
      </w:r>
      <w:r w:rsidRPr="00027C37">
        <w:rPr>
          <w:rFonts w:ascii="Century Schoolbook" w:hAnsi="Century Schoolbook" w:cs="Times New Roman"/>
          <w:sz w:val="24"/>
          <w:szCs w:val="24"/>
        </w:rPr>
        <w:t xml:space="preserve"> </w:t>
      </w:r>
      <w:r w:rsidR="00DB1C0A">
        <w:rPr>
          <w:rFonts w:ascii="Century Schoolbook" w:hAnsi="Century Schoolbook" w:cs="Times New Roman"/>
          <w:sz w:val="24"/>
          <w:szCs w:val="24"/>
        </w:rPr>
        <w:t>That is</w:t>
      </w:r>
      <w:r>
        <w:rPr>
          <w:rFonts w:ascii="Century Schoolbook" w:hAnsi="Century Schoolbook" w:cs="Times New Roman"/>
          <w:sz w:val="24"/>
          <w:szCs w:val="24"/>
        </w:rPr>
        <w:t xml:space="preserve">, the </w:t>
      </w:r>
      <w:r w:rsidR="00352E35">
        <w:rPr>
          <w:rFonts w:ascii="Century Schoolbook" w:hAnsi="Century Schoolbook" w:cs="Times New Roman"/>
          <w:sz w:val="24"/>
          <w:szCs w:val="24"/>
        </w:rPr>
        <w:t xml:space="preserve">unrecorded </w:t>
      </w:r>
      <w:r>
        <w:rPr>
          <w:rFonts w:ascii="Century Schoolbook" w:hAnsi="Century Schoolbook" w:cs="Times New Roman"/>
          <w:sz w:val="24"/>
          <w:szCs w:val="24"/>
        </w:rPr>
        <w:t>decision</w:t>
      </w:r>
      <w:r w:rsidRPr="00027C37">
        <w:rPr>
          <w:rFonts w:ascii="Century Schoolbook" w:hAnsi="Century Schoolbook" w:cs="Times New Roman"/>
          <w:sz w:val="24"/>
          <w:szCs w:val="24"/>
        </w:rPr>
        <w:t xml:space="preserve"> was</w:t>
      </w:r>
      <w:r>
        <w:rPr>
          <w:rFonts w:ascii="Century Schoolbook" w:hAnsi="Century Schoolbook" w:cs="Times New Roman"/>
          <w:sz w:val="24"/>
          <w:szCs w:val="24"/>
        </w:rPr>
        <w:t xml:space="preserve"> taken without necessary authority under the Approval Framework</w:t>
      </w:r>
      <w:r>
        <w:rPr>
          <w:rStyle w:val="FootnoteReference"/>
          <w:rFonts w:ascii="Century Schoolbook" w:hAnsi="Century Schoolbook" w:cs="Times New Roman"/>
          <w:sz w:val="24"/>
          <w:szCs w:val="24"/>
        </w:rPr>
        <w:footnoteReference w:id="157"/>
      </w:r>
      <w:r>
        <w:rPr>
          <w:rFonts w:ascii="Century Schoolbook" w:hAnsi="Century Schoolbook" w:cs="Times New Roman"/>
          <w:sz w:val="24"/>
          <w:szCs w:val="24"/>
        </w:rPr>
        <w:t xml:space="preserve"> </w:t>
      </w:r>
      <w:r w:rsidR="00DB1C0A">
        <w:rPr>
          <w:rFonts w:ascii="Century Schoolbook" w:hAnsi="Century Schoolbook" w:cs="Times New Roman"/>
          <w:sz w:val="24"/>
          <w:szCs w:val="24"/>
        </w:rPr>
        <w:t>(an internal regulation</w:t>
      </w:r>
      <w:r w:rsidR="00D8273C">
        <w:rPr>
          <w:rFonts w:ascii="Century Schoolbook" w:hAnsi="Century Schoolbook" w:cs="Times New Roman"/>
          <w:sz w:val="24"/>
          <w:szCs w:val="24"/>
        </w:rPr>
        <w:t>,</w:t>
      </w:r>
      <w:r w:rsidR="00DB1C0A">
        <w:rPr>
          <w:rFonts w:ascii="Century Schoolbook" w:hAnsi="Century Schoolbook" w:cs="Times New Roman"/>
          <w:sz w:val="24"/>
          <w:szCs w:val="24"/>
        </w:rPr>
        <w:t xml:space="preserve"> a form of subordinate legislation) </w:t>
      </w:r>
      <w:r>
        <w:rPr>
          <w:rFonts w:ascii="Century Schoolbook" w:hAnsi="Century Schoolbook" w:cs="Times New Roman"/>
          <w:sz w:val="24"/>
          <w:szCs w:val="24"/>
        </w:rPr>
        <w:t xml:space="preserve">and </w:t>
      </w:r>
      <w:r w:rsidR="00332111">
        <w:rPr>
          <w:rFonts w:ascii="Century Schoolbook" w:hAnsi="Century Schoolbook" w:cs="Times New Roman"/>
          <w:sz w:val="24"/>
          <w:szCs w:val="24"/>
        </w:rPr>
        <w:t xml:space="preserve">was </w:t>
      </w:r>
      <w:r>
        <w:rPr>
          <w:rFonts w:ascii="Century Schoolbook" w:hAnsi="Century Schoolbook" w:cs="Times New Roman"/>
          <w:sz w:val="24"/>
          <w:szCs w:val="24"/>
        </w:rPr>
        <w:t>consequently illega</w:t>
      </w:r>
      <w:r w:rsidR="00332111">
        <w:rPr>
          <w:rFonts w:ascii="Century Schoolbook" w:hAnsi="Century Schoolbook" w:cs="Times New Roman"/>
          <w:sz w:val="24"/>
          <w:szCs w:val="24"/>
        </w:rPr>
        <w:t>l</w:t>
      </w:r>
      <w:r>
        <w:rPr>
          <w:rFonts w:ascii="Century Schoolbook" w:hAnsi="Century Schoolbook" w:cs="Times New Roman"/>
          <w:sz w:val="24"/>
          <w:szCs w:val="24"/>
        </w:rPr>
        <w:t xml:space="preserve"> </w:t>
      </w:r>
      <w:r w:rsidR="00352E35">
        <w:rPr>
          <w:rFonts w:ascii="Century Schoolbook" w:hAnsi="Century Schoolbook" w:cs="Times New Roman"/>
          <w:sz w:val="24"/>
          <w:szCs w:val="24"/>
        </w:rPr>
        <w:t xml:space="preserve">for that reason as well </w:t>
      </w:r>
      <w:r>
        <w:rPr>
          <w:rFonts w:ascii="Century Schoolbook" w:hAnsi="Century Schoolbook" w:cs="Times New Roman"/>
          <w:sz w:val="24"/>
          <w:szCs w:val="24"/>
        </w:rPr>
        <w:t xml:space="preserve">– and hence a ‘material illegality’ </w:t>
      </w:r>
      <w:r w:rsidR="003C5D62">
        <w:rPr>
          <w:rFonts w:ascii="Century Schoolbook" w:hAnsi="Century Schoolbook" w:cs="Times New Roman"/>
          <w:sz w:val="24"/>
          <w:szCs w:val="24"/>
        </w:rPr>
        <w:t>as defined by</w:t>
      </w:r>
      <w:r>
        <w:rPr>
          <w:rFonts w:ascii="Century Schoolbook" w:hAnsi="Century Schoolbook" w:cs="Times New Roman"/>
          <w:sz w:val="24"/>
          <w:szCs w:val="24"/>
        </w:rPr>
        <w:t xml:space="preserve"> section 1 of the PAA</w:t>
      </w:r>
      <w:r w:rsidR="00287C59">
        <w:rPr>
          <w:rFonts w:ascii="Century Schoolbook" w:hAnsi="Century Schoolbook" w:cs="Times New Roman"/>
          <w:sz w:val="24"/>
          <w:szCs w:val="24"/>
        </w:rPr>
        <w:t xml:space="preserve"> and accordingly of concern to the Auditor-General</w:t>
      </w:r>
      <w:r>
        <w:rPr>
          <w:rFonts w:ascii="Century Schoolbook" w:hAnsi="Century Schoolbook" w:cs="Times New Roman"/>
          <w:sz w:val="24"/>
          <w:szCs w:val="24"/>
        </w:rPr>
        <w:t>.</w:t>
      </w:r>
    </w:p>
    <w:p w:rsidR="00B73551" w:rsidRPr="006C6879" w:rsidRDefault="00B73551" w:rsidP="00B73551">
      <w:pPr>
        <w:pStyle w:val="ListParagraph"/>
        <w:numPr>
          <w:ilvl w:val="0"/>
          <w:numId w:val="1"/>
        </w:numPr>
        <w:tabs>
          <w:tab w:val="left" w:pos="284"/>
          <w:tab w:val="left" w:pos="426"/>
        </w:tabs>
        <w:spacing w:line="360" w:lineRule="auto"/>
        <w:ind w:left="0" w:firstLine="0"/>
        <w:contextualSpacing w:val="0"/>
        <w:rPr>
          <w:rFonts w:ascii="Century Schoolbook" w:hAnsi="Century Schoolbook"/>
          <w:color w:val="222222"/>
          <w:sz w:val="24"/>
          <w:szCs w:val="24"/>
          <w:shd w:val="clear" w:color="auto" w:fill="FFFFFF"/>
        </w:rPr>
      </w:pPr>
      <w:r w:rsidRPr="008116FF">
        <w:rPr>
          <w:rFonts w:ascii="Century Schoolbook" w:hAnsi="Century Schoolbook"/>
          <w:color w:val="222222"/>
          <w:sz w:val="24"/>
          <w:szCs w:val="24"/>
          <w:shd w:val="clear" w:color="auto" w:fill="FFFFFF"/>
        </w:rPr>
        <w:t>Section 55(2)(a) of the PFMA prescribes:</w:t>
      </w:r>
    </w:p>
    <w:p w:rsidR="00B73551" w:rsidRPr="006C6879" w:rsidRDefault="00B73551" w:rsidP="00B73551">
      <w:pPr>
        <w:pStyle w:val="ListParagraph"/>
        <w:autoSpaceDE w:val="0"/>
        <w:autoSpaceDN w:val="0"/>
        <w:adjustRightInd w:val="0"/>
        <w:spacing w:line="360" w:lineRule="auto"/>
        <w:ind w:left="771"/>
        <w:contextualSpacing w:val="0"/>
        <w:rPr>
          <w:rFonts w:ascii="Century Schoolbook" w:hAnsi="Century Schoolbook"/>
          <w:color w:val="222222"/>
          <w:sz w:val="24"/>
          <w:szCs w:val="24"/>
          <w:shd w:val="clear" w:color="auto" w:fill="FFFFFF"/>
        </w:rPr>
      </w:pPr>
      <w:r w:rsidRPr="006C6879">
        <w:rPr>
          <w:rFonts w:ascii="Century Schoolbook" w:hAnsi="Century Schoolbook"/>
          <w:color w:val="222222"/>
          <w:sz w:val="24"/>
          <w:szCs w:val="24"/>
          <w:shd w:val="clear" w:color="auto" w:fill="FFFFFF"/>
        </w:rPr>
        <w:t>The annual report and financial statements ... must</w:t>
      </w:r>
      <w:r w:rsidRPr="006C6879">
        <w:rPr>
          <w:rFonts w:ascii="Century Schoolbook" w:hAnsi="Century Schoolbook"/>
          <w:sz w:val="24"/>
          <w:szCs w:val="24"/>
        </w:rPr>
        <w:t xml:space="preserve"> ... f</w:t>
      </w:r>
      <w:r w:rsidRPr="006C6879">
        <w:rPr>
          <w:rFonts w:ascii="Century Schoolbook" w:hAnsi="Century Schoolbook"/>
          <w:color w:val="222222"/>
          <w:sz w:val="24"/>
          <w:szCs w:val="24"/>
          <w:shd w:val="clear" w:color="auto" w:fill="FFFFFF"/>
        </w:rPr>
        <w:t xml:space="preserve">airly present the state of affairs of the public entity, its business, its financial results, its </w:t>
      </w:r>
      <w:r w:rsidRPr="006C6879">
        <w:rPr>
          <w:rFonts w:ascii="Century Schoolbook" w:hAnsi="Century Schoolbook"/>
          <w:color w:val="222222"/>
          <w:sz w:val="24"/>
          <w:szCs w:val="24"/>
          <w:shd w:val="clear" w:color="auto" w:fill="FFFFFF"/>
        </w:rPr>
        <w:lastRenderedPageBreak/>
        <w:t>performance against predetermined objectives and its financial position as at the end of the financial year concerned.</w:t>
      </w:r>
    </w:p>
    <w:p w:rsidR="006C6879" w:rsidRPr="006C6879" w:rsidRDefault="004D111A" w:rsidP="006C687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In</w:t>
      </w:r>
      <w:r w:rsidR="006C6879">
        <w:rPr>
          <w:rFonts w:ascii="Century Schoolbook" w:hAnsi="Century Schoolbook" w:cs="Times New Roman"/>
          <w:sz w:val="24"/>
          <w:szCs w:val="24"/>
        </w:rPr>
        <w:t xml:space="preserve"> </w:t>
      </w:r>
      <w:r w:rsidR="006C6879" w:rsidRPr="006C6879">
        <w:rPr>
          <w:rFonts w:ascii="Century Schoolbook" w:hAnsi="Century Schoolbook" w:cs="Calibri"/>
          <w:color w:val="000000" w:themeColor="text1"/>
          <w:sz w:val="24"/>
          <w:szCs w:val="24"/>
        </w:rPr>
        <w:t>its Annual Performance Report 2011–12 presented to the Portfolio Committee on 9</w:t>
      </w:r>
      <w:r w:rsidR="00E93CF4">
        <w:rPr>
          <w:rFonts w:ascii="Century Schoolbook" w:hAnsi="Century Schoolbook" w:cs="Calibri"/>
          <w:color w:val="000000" w:themeColor="text1"/>
          <w:sz w:val="24"/>
          <w:szCs w:val="24"/>
        </w:rPr>
        <w:t xml:space="preserve"> </w:t>
      </w:r>
      <w:r w:rsidR="006C6879" w:rsidRPr="006C6879">
        <w:rPr>
          <w:rFonts w:ascii="Century Schoolbook" w:hAnsi="Century Schoolbook" w:cs="Calibri"/>
          <w:color w:val="000000" w:themeColor="text1"/>
          <w:sz w:val="24"/>
          <w:szCs w:val="24"/>
        </w:rPr>
        <w:t>October 2012,</w:t>
      </w:r>
      <w:r w:rsidR="006C6879" w:rsidRPr="006C6879">
        <w:rPr>
          <w:rStyle w:val="FootnoteReference"/>
          <w:rFonts w:ascii="Century Schoolbook" w:hAnsi="Century Schoolbook" w:cs="Calibri"/>
          <w:color w:val="000000" w:themeColor="text1"/>
          <w:sz w:val="24"/>
          <w:szCs w:val="24"/>
        </w:rPr>
        <w:footnoteReference w:id="158"/>
      </w:r>
      <w:r w:rsidR="006C6879" w:rsidRPr="006C6879">
        <w:rPr>
          <w:rFonts w:ascii="Century Schoolbook" w:hAnsi="Century Schoolbook" w:cs="Calibri"/>
          <w:color w:val="000000" w:themeColor="text1"/>
          <w:sz w:val="24"/>
          <w:szCs w:val="24"/>
        </w:rPr>
        <w:t xml:space="preserve"> </w:t>
      </w:r>
      <w:r w:rsidR="006C6879">
        <w:rPr>
          <w:rFonts w:ascii="Century Schoolbook" w:hAnsi="Century Schoolbook" w:cs="Calibri"/>
          <w:color w:val="000000" w:themeColor="text1"/>
          <w:sz w:val="24"/>
          <w:szCs w:val="24"/>
        </w:rPr>
        <w:t>LASA</w:t>
      </w:r>
      <w:r w:rsidR="006B69BB">
        <w:rPr>
          <w:rFonts w:ascii="Century Schoolbook" w:hAnsi="Century Schoolbook" w:cs="Calibri"/>
          <w:color w:val="000000" w:themeColor="text1"/>
          <w:sz w:val="24"/>
          <w:szCs w:val="24"/>
        </w:rPr>
        <w:t>’s Board</w:t>
      </w:r>
      <w:r w:rsidR="006B69BB">
        <w:rPr>
          <w:rStyle w:val="FootnoteReference"/>
          <w:rFonts w:ascii="Century Schoolbook" w:hAnsi="Century Schoolbook" w:cs="Calibri"/>
          <w:color w:val="000000" w:themeColor="text1"/>
          <w:sz w:val="24"/>
          <w:szCs w:val="24"/>
        </w:rPr>
        <w:footnoteReference w:id="159"/>
      </w:r>
      <w:r w:rsidR="006C6879" w:rsidRPr="006C6879">
        <w:rPr>
          <w:rFonts w:ascii="Century Schoolbook" w:hAnsi="Century Schoolbook" w:cs="Calibri"/>
          <w:color w:val="000000" w:themeColor="text1"/>
          <w:sz w:val="24"/>
          <w:szCs w:val="24"/>
        </w:rPr>
        <w:t xml:space="preserve"> </w:t>
      </w:r>
      <w:r w:rsidR="003C5D62">
        <w:rPr>
          <w:rFonts w:ascii="Century Schoolbook" w:hAnsi="Century Schoolbook" w:cs="Calibri"/>
          <w:color w:val="000000" w:themeColor="text1"/>
          <w:sz w:val="24"/>
          <w:szCs w:val="24"/>
        </w:rPr>
        <w:t>misleadingly</w:t>
      </w:r>
      <w:r w:rsidR="003C5D62" w:rsidRPr="006C6879">
        <w:rPr>
          <w:rFonts w:ascii="Century Schoolbook" w:hAnsi="Century Schoolbook" w:cs="Calibri"/>
          <w:color w:val="000000" w:themeColor="text1"/>
          <w:sz w:val="24"/>
          <w:szCs w:val="24"/>
        </w:rPr>
        <w:t xml:space="preserve"> </w:t>
      </w:r>
      <w:r w:rsidR="00907108" w:rsidRPr="006C6879">
        <w:rPr>
          <w:rFonts w:ascii="Century Schoolbook" w:hAnsi="Century Schoolbook" w:cs="Calibri"/>
          <w:color w:val="000000" w:themeColor="text1"/>
          <w:sz w:val="24"/>
          <w:szCs w:val="24"/>
        </w:rPr>
        <w:t>stated</w:t>
      </w:r>
      <w:r w:rsidR="00907108">
        <w:rPr>
          <w:rFonts w:ascii="Century Schoolbook" w:hAnsi="Century Schoolbook" w:cs="Calibri"/>
          <w:color w:val="000000" w:themeColor="text1"/>
          <w:sz w:val="24"/>
          <w:szCs w:val="24"/>
        </w:rPr>
        <w:t xml:space="preserve"> </w:t>
      </w:r>
      <w:r w:rsidR="006C6879" w:rsidRPr="006C6879">
        <w:rPr>
          <w:rFonts w:ascii="Century Schoolbook" w:hAnsi="Century Schoolbook" w:cs="Calibri"/>
          <w:color w:val="000000" w:themeColor="text1"/>
          <w:sz w:val="24"/>
          <w:szCs w:val="24"/>
        </w:rPr>
        <w:t xml:space="preserve">in its ‘Report on </w:t>
      </w:r>
      <w:r w:rsidR="004B110B">
        <w:rPr>
          <w:rFonts w:ascii="Century Schoolbook" w:hAnsi="Century Schoolbook" w:cs="Calibri"/>
          <w:color w:val="000000" w:themeColor="text1"/>
          <w:sz w:val="24"/>
          <w:szCs w:val="24"/>
        </w:rPr>
        <w:t>C</w:t>
      </w:r>
      <w:r w:rsidR="006C6879" w:rsidRPr="006C6879">
        <w:rPr>
          <w:rFonts w:ascii="Century Schoolbook" w:hAnsi="Century Schoolbook" w:cs="Calibri"/>
          <w:color w:val="000000" w:themeColor="text1"/>
          <w:sz w:val="24"/>
          <w:szCs w:val="24"/>
        </w:rPr>
        <w:t>ompletion of Strategic Plan 2009–2012’: ‘Senior Litigators employed are working on complex matters and matters in higher courts’.</w:t>
      </w:r>
      <w:r w:rsidR="006C6879" w:rsidRPr="006C6879">
        <w:rPr>
          <w:rStyle w:val="FootnoteReference"/>
          <w:rFonts w:ascii="Century Schoolbook" w:hAnsi="Century Schoolbook" w:cs="Calibri"/>
          <w:color w:val="000000" w:themeColor="text1"/>
          <w:sz w:val="24"/>
          <w:szCs w:val="24"/>
        </w:rPr>
        <w:footnoteReference w:id="160"/>
      </w:r>
      <w:r w:rsidR="006C6879" w:rsidRPr="006C6879">
        <w:rPr>
          <w:rFonts w:ascii="Century Schoolbook" w:hAnsi="Century Schoolbook" w:cs="Calibri"/>
          <w:color w:val="000000" w:themeColor="text1"/>
          <w:sz w:val="24"/>
          <w:szCs w:val="24"/>
        </w:rPr>
        <w:t xml:space="preserve"> Vedalankar </w:t>
      </w:r>
      <w:r w:rsidR="0043023E">
        <w:rPr>
          <w:rFonts w:ascii="Century Schoolbook" w:hAnsi="Century Schoolbook" w:cs="Calibri"/>
          <w:color w:val="000000" w:themeColor="text1"/>
          <w:sz w:val="24"/>
          <w:szCs w:val="24"/>
        </w:rPr>
        <w:t xml:space="preserve">repeatedly </w:t>
      </w:r>
      <w:r w:rsidR="00E44FFB">
        <w:rPr>
          <w:rFonts w:ascii="Century Schoolbook" w:hAnsi="Century Schoolbook" w:cs="Calibri"/>
          <w:color w:val="000000" w:themeColor="text1"/>
          <w:sz w:val="24"/>
          <w:szCs w:val="24"/>
        </w:rPr>
        <w:t xml:space="preserve">made </w:t>
      </w:r>
      <w:r w:rsidR="00EB01B6">
        <w:rPr>
          <w:rFonts w:ascii="Century Schoolbook" w:hAnsi="Century Schoolbook" w:cs="Calibri"/>
          <w:color w:val="000000" w:themeColor="text1"/>
          <w:sz w:val="24"/>
          <w:szCs w:val="24"/>
        </w:rPr>
        <w:t>the same</w:t>
      </w:r>
      <w:r w:rsidR="00E44FFB" w:rsidRPr="00E44FFB">
        <w:rPr>
          <w:rFonts w:ascii="Century Schoolbook" w:hAnsi="Century Schoolbook" w:cs="Calibri"/>
          <w:color w:val="000000" w:themeColor="text1"/>
          <w:sz w:val="24"/>
          <w:szCs w:val="24"/>
        </w:rPr>
        <w:t xml:space="preserve"> </w:t>
      </w:r>
      <w:r w:rsidR="00E44FFB">
        <w:rPr>
          <w:rFonts w:ascii="Century Schoolbook" w:hAnsi="Century Schoolbook" w:cs="Calibri"/>
          <w:color w:val="000000" w:themeColor="text1"/>
          <w:sz w:val="24"/>
          <w:szCs w:val="24"/>
        </w:rPr>
        <w:t>misleadingly</w:t>
      </w:r>
      <w:r w:rsidR="00E44FFB" w:rsidRPr="006C6879">
        <w:rPr>
          <w:rFonts w:ascii="Century Schoolbook" w:hAnsi="Century Schoolbook" w:cs="Calibri"/>
          <w:color w:val="000000" w:themeColor="text1"/>
          <w:sz w:val="24"/>
          <w:szCs w:val="24"/>
        </w:rPr>
        <w:t xml:space="preserve"> alleg</w:t>
      </w:r>
      <w:r w:rsidR="00E44FFB">
        <w:rPr>
          <w:rFonts w:ascii="Century Schoolbook" w:hAnsi="Century Schoolbook" w:cs="Calibri"/>
          <w:color w:val="000000" w:themeColor="text1"/>
          <w:sz w:val="24"/>
          <w:szCs w:val="24"/>
        </w:rPr>
        <w:t>ation</w:t>
      </w:r>
      <w:r w:rsidR="00907108" w:rsidRPr="00907108">
        <w:rPr>
          <w:rFonts w:ascii="Century Schoolbook" w:hAnsi="Century Schoolbook" w:cs="Calibri"/>
          <w:color w:val="000000" w:themeColor="text1"/>
          <w:sz w:val="24"/>
          <w:szCs w:val="24"/>
        </w:rPr>
        <w:t xml:space="preserve"> </w:t>
      </w:r>
      <w:r w:rsidR="006C6879" w:rsidRPr="006C6879">
        <w:rPr>
          <w:rFonts w:ascii="Century Schoolbook" w:hAnsi="Century Schoolbook" w:cs="Calibri"/>
          <w:color w:val="000000" w:themeColor="text1"/>
          <w:sz w:val="24"/>
          <w:szCs w:val="24"/>
        </w:rPr>
        <w:t>in her CEO Report in</w:t>
      </w:r>
      <w:r w:rsidR="009C429D">
        <w:rPr>
          <w:rFonts w:ascii="Century Schoolbook" w:hAnsi="Century Schoolbook" w:cs="Calibri"/>
          <w:color w:val="000000" w:themeColor="text1"/>
          <w:sz w:val="24"/>
          <w:szCs w:val="24"/>
        </w:rPr>
        <w:t>cluded in</w:t>
      </w:r>
      <w:r w:rsidR="00E93CF4">
        <w:rPr>
          <w:rFonts w:ascii="Century Schoolbook" w:hAnsi="Century Schoolbook" w:cs="Calibri"/>
          <w:color w:val="000000" w:themeColor="text1"/>
          <w:sz w:val="24"/>
          <w:szCs w:val="24"/>
        </w:rPr>
        <w:t xml:space="preserve"> </w:t>
      </w:r>
      <w:r w:rsidR="005A6AF9">
        <w:rPr>
          <w:rFonts w:ascii="Century Schoolbook" w:hAnsi="Century Schoolbook" w:cs="Calibri"/>
          <w:color w:val="000000" w:themeColor="text1"/>
          <w:sz w:val="24"/>
          <w:szCs w:val="24"/>
        </w:rPr>
        <w:t>LASA</w:t>
      </w:r>
      <w:r w:rsidR="006C6879" w:rsidRPr="006C6879">
        <w:rPr>
          <w:rFonts w:ascii="Century Schoolbook" w:hAnsi="Century Schoolbook" w:cs="Calibri"/>
          <w:color w:val="000000" w:themeColor="text1"/>
          <w:sz w:val="24"/>
          <w:szCs w:val="24"/>
        </w:rPr>
        <w:t>’s Annual Report 2011/12</w:t>
      </w:r>
      <w:r w:rsidR="009C429D">
        <w:rPr>
          <w:rFonts w:ascii="Century Schoolbook" w:hAnsi="Century Schoolbook" w:cs="Calibri"/>
          <w:color w:val="000000" w:themeColor="text1"/>
          <w:sz w:val="24"/>
          <w:szCs w:val="24"/>
        </w:rPr>
        <w:t>,</w:t>
      </w:r>
      <w:r w:rsidR="006C6879" w:rsidRPr="006C6879">
        <w:rPr>
          <w:rFonts w:ascii="Century Schoolbook" w:hAnsi="Century Schoolbook" w:cs="Calibri"/>
          <w:color w:val="000000" w:themeColor="text1"/>
          <w:sz w:val="24"/>
          <w:szCs w:val="24"/>
        </w:rPr>
        <w:t xml:space="preserve"> presented to the Portfolio Committee on the same day: ‘Senior Litigators employed are working on complex matters in the higher courts.’</w:t>
      </w:r>
      <w:r w:rsidR="006C6879" w:rsidRPr="006C6879">
        <w:rPr>
          <w:rStyle w:val="FootnoteReference"/>
          <w:rFonts w:ascii="Century Schoolbook" w:hAnsi="Century Schoolbook" w:cs="Calibri"/>
          <w:color w:val="000000" w:themeColor="text1"/>
          <w:sz w:val="24"/>
          <w:szCs w:val="24"/>
        </w:rPr>
        <w:footnoteReference w:id="161"/>
      </w:r>
      <w:r w:rsidR="006C6879" w:rsidRPr="006C6879">
        <w:rPr>
          <w:rFonts w:ascii="Century Schoolbook" w:hAnsi="Century Schoolbook" w:cs="Calibri"/>
          <w:color w:val="000000" w:themeColor="text1"/>
          <w:sz w:val="24"/>
          <w:szCs w:val="24"/>
        </w:rPr>
        <w:t xml:space="preserve"> Again in her discussion of ‘the completion of our three-year Strategic Plan period 2009–12</w:t>
      </w:r>
      <w:r w:rsidR="0043023E">
        <w:rPr>
          <w:rFonts w:ascii="Century Schoolbook" w:hAnsi="Century Schoolbook" w:cs="Calibri"/>
          <w:color w:val="000000" w:themeColor="text1"/>
          <w:sz w:val="24"/>
          <w:szCs w:val="24"/>
        </w:rPr>
        <w:t>’, she claimed: ‘</w:t>
      </w:r>
      <w:r w:rsidR="006C6879" w:rsidRPr="006C6879">
        <w:rPr>
          <w:rFonts w:ascii="Century Schoolbook" w:hAnsi="Century Schoolbook" w:cs="Calibri"/>
          <w:color w:val="000000" w:themeColor="text1"/>
          <w:sz w:val="24"/>
          <w:szCs w:val="24"/>
        </w:rPr>
        <w:t>To a large extent we were able to make the strategic shift that we mapped for the 2009–12 Strategic Plan (SP) period as indicated below</w:t>
      </w:r>
      <w:r w:rsidR="004B110B">
        <w:rPr>
          <w:rFonts w:ascii="Century Schoolbook" w:hAnsi="Century Schoolbook" w:cs="Calibri"/>
          <w:color w:val="000000" w:themeColor="text1"/>
          <w:sz w:val="24"/>
          <w:szCs w:val="24"/>
        </w:rPr>
        <w:t xml:space="preserve"> ... </w:t>
      </w:r>
      <w:r w:rsidR="00EB01B6">
        <w:rPr>
          <w:rFonts w:ascii="Century Schoolbook" w:hAnsi="Century Schoolbook" w:cs="Calibri"/>
          <w:color w:val="000000" w:themeColor="text1"/>
          <w:sz w:val="24"/>
          <w:szCs w:val="24"/>
        </w:rPr>
        <w:t>W</w:t>
      </w:r>
      <w:r w:rsidR="006C6879" w:rsidRPr="006C6879">
        <w:rPr>
          <w:rFonts w:ascii="Century Schoolbook" w:hAnsi="Century Schoolbook" w:cs="Calibri"/>
          <w:color w:val="000000" w:themeColor="text1"/>
          <w:sz w:val="24"/>
          <w:szCs w:val="24"/>
        </w:rPr>
        <w:t>e employed Senior Litigators who are working on complex matters and matters in higher courts.’</w:t>
      </w:r>
      <w:r w:rsidR="006C6879" w:rsidRPr="006C6879">
        <w:rPr>
          <w:rStyle w:val="FootnoteReference"/>
          <w:rFonts w:ascii="Century Schoolbook" w:hAnsi="Century Schoolbook" w:cs="Calibri"/>
          <w:color w:val="000000" w:themeColor="text1"/>
          <w:sz w:val="24"/>
          <w:szCs w:val="24"/>
        </w:rPr>
        <w:footnoteReference w:id="162"/>
      </w:r>
    </w:p>
    <w:p w:rsidR="00535BB9" w:rsidRPr="00535BB9" w:rsidRDefault="006C6879" w:rsidP="006C6879">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sidRPr="006C6879">
        <w:rPr>
          <w:rFonts w:ascii="Century Schoolbook" w:hAnsi="Century Schoolbook"/>
          <w:color w:val="000000" w:themeColor="text1"/>
          <w:sz w:val="24"/>
          <w:szCs w:val="24"/>
        </w:rPr>
        <w:t xml:space="preserve">These statements about </w:t>
      </w:r>
      <w:r w:rsidR="003C5D62">
        <w:rPr>
          <w:rFonts w:ascii="Century Schoolbook" w:hAnsi="Century Schoolbook"/>
          <w:color w:val="000000" w:themeColor="text1"/>
          <w:sz w:val="24"/>
          <w:szCs w:val="24"/>
        </w:rPr>
        <w:t xml:space="preserve">the employment of </w:t>
      </w:r>
      <w:r w:rsidRPr="006C6879">
        <w:rPr>
          <w:rFonts w:ascii="Century Schoolbook" w:hAnsi="Century Schoolbook"/>
          <w:color w:val="000000" w:themeColor="text1"/>
          <w:sz w:val="24"/>
          <w:szCs w:val="24"/>
        </w:rPr>
        <w:t xml:space="preserve">Senior Litigators </w:t>
      </w:r>
      <w:r w:rsidR="003C5D62">
        <w:rPr>
          <w:rFonts w:ascii="Century Schoolbook" w:hAnsi="Century Schoolbook"/>
          <w:color w:val="000000" w:themeColor="text1"/>
          <w:sz w:val="24"/>
          <w:szCs w:val="24"/>
        </w:rPr>
        <w:t xml:space="preserve">made </w:t>
      </w:r>
      <w:r w:rsidR="00486EDF">
        <w:rPr>
          <w:rFonts w:ascii="Century Schoolbook" w:hAnsi="Century Schoolbook"/>
          <w:color w:val="000000" w:themeColor="text1"/>
          <w:sz w:val="24"/>
          <w:szCs w:val="24"/>
        </w:rPr>
        <w:t>by</w:t>
      </w:r>
      <w:r w:rsidRPr="006C6879">
        <w:rPr>
          <w:rFonts w:ascii="Century Schoolbook" w:hAnsi="Century Schoolbook"/>
          <w:color w:val="000000" w:themeColor="text1"/>
          <w:sz w:val="24"/>
          <w:szCs w:val="24"/>
        </w:rPr>
        <w:t xml:space="preserve"> </w:t>
      </w:r>
      <w:r w:rsidR="00E44FFB">
        <w:rPr>
          <w:rFonts w:ascii="Century Schoolbook" w:hAnsi="Century Schoolbook"/>
          <w:color w:val="000000" w:themeColor="text1"/>
          <w:sz w:val="24"/>
          <w:szCs w:val="24"/>
        </w:rPr>
        <w:t>the Board</w:t>
      </w:r>
      <w:r w:rsidR="00486EDF">
        <w:rPr>
          <w:rFonts w:ascii="Century Schoolbook" w:hAnsi="Century Schoolbook"/>
          <w:color w:val="000000" w:themeColor="text1"/>
          <w:sz w:val="24"/>
          <w:szCs w:val="24"/>
        </w:rPr>
        <w:t xml:space="preserve"> in </w:t>
      </w:r>
      <w:r w:rsidR="00E44FFB">
        <w:rPr>
          <w:rFonts w:ascii="Century Schoolbook" w:hAnsi="Century Schoolbook"/>
          <w:color w:val="000000" w:themeColor="text1"/>
          <w:sz w:val="24"/>
          <w:szCs w:val="24"/>
        </w:rPr>
        <w:t>LASA’s</w:t>
      </w:r>
      <w:r w:rsidR="00E44FFB" w:rsidRPr="006C6879">
        <w:rPr>
          <w:rFonts w:ascii="Century Schoolbook" w:hAnsi="Century Schoolbook"/>
          <w:color w:val="000000" w:themeColor="text1"/>
          <w:sz w:val="24"/>
          <w:szCs w:val="24"/>
        </w:rPr>
        <w:t xml:space="preserve"> </w:t>
      </w:r>
      <w:r w:rsidRPr="006C6879">
        <w:rPr>
          <w:rFonts w:ascii="Century Schoolbook" w:hAnsi="Century Schoolbook"/>
          <w:color w:val="000000" w:themeColor="text1"/>
          <w:sz w:val="24"/>
          <w:szCs w:val="24"/>
        </w:rPr>
        <w:t>Annual Performance Report 2011/12</w:t>
      </w:r>
      <w:r w:rsidR="003C5D62">
        <w:rPr>
          <w:rFonts w:ascii="Century Schoolbook" w:hAnsi="Century Schoolbook"/>
          <w:color w:val="000000" w:themeColor="text1"/>
          <w:sz w:val="24"/>
          <w:szCs w:val="24"/>
        </w:rPr>
        <w:t xml:space="preserve">, </w:t>
      </w:r>
      <w:r w:rsidR="003E489E">
        <w:rPr>
          <w:rFonts w:ascii="Century Schoolbook" w:hAnsi="Century Schoolbook"/>
          <w:color w:val="000000" w:themeColor="text1"/>
          <w:sz w:val="24"/>
          <w:szCs w:val="24"/>
        </w:rPr>
        <w:t xml:space="preserve">prefaced by </w:t>
      </w:r>
      <w:r w:rsidR="003E489E" w:rsidRPr="003E489E">
        <w:rPr>
          <w:rFonts w:ascii="Century Schoolbook" w:hAnsi="Century Schoolbook"/>
          <w:color w:val="000000" w:themeColor="text1"/>
          <w:sz w:val="24"/>
          <w:szCs w:val="24"/>
        </w:rPr>
        <w:t>Mlambo JP’s chairperson’s report</w:t>
      </w:r>
      <w:r w:rsidR="003C5D62">
        <w:rPr>
          <w:rFonts w:ascii="Century Schoolbook" w:hAnsi="Century Schoolbook"/>
          <w:color w:val="000000" w:themeColor="text1"/>
          <w:sz w:val="24"/>
          <w:szCs w:val="24"/>
        </w:rPr>
        <w:t>,</w:t>
      </w:r>
      <w:r w:rsidR="003E489E" w:rsidRPr="006C6879">
        <w:rPr>
          <w:rFonts w:ascii="Century Schoolbook" w:hAnsi="Century Schoolbook"/>
          <w:color w:val="000000" w:themeColor="text1"/>
          <w:sz w:val="24"/>
          <w:szCs w:val="24"/>
        </w:rPr>
        <w:t xml:space="preserve"> </w:t>
      </w:r>
      <w:r w:rsidRPr="006C6879">
        <w:rPr>
          <w:rFonts w:ascii="Century Schoolbook" w:hAnsi="Century Schoolbook"/>
          <w:color w:val="000000" w:themeColor="text1"/>
          <w:sz w:val="24"/>
          <w:szCs w:val="24"/>
        </w:rPr>
        <w:t>and by Vedalankar in her CEO report for 2011/12</w:t>
      </w:r>
      <w:r w:rsidR="006B69BB">
        <w:rPr>
          <w:rFonts w:ascii="Century Schoolbook" w:hAnsi="Century Schoolbook"/>
          <w:color w:val="000000" w:themeColor="text1"/>
          <w:sz w:val="24"/>
          <w:szCs w:val="24"/>
        </w:rPr>
        <w:t>,</w:t>
      </w:r>
      <w:r w:rsidRPr="006C6879">
        <w:rPr>
          <w:rFonts w:ascii="Century Schoolbook" w:hAnsi="Century Schoolbook"/>
          <w:color w:val="000000" w:themeColor="text1"/>
          <w:sz w:val="24"/>
          <w:szCs w:val="24"/>
        </w:rPr>
        <w:t xml:space="preserve"> were intended to imply to the Portfolio Committee</w:t>
      </w:r>
      <w:r w:rsidR="009C429D">
        <w:rPr>
          <w:rFonts w:ascii="Century Schoolbook" w:hAnsi="Century Schoolbook"/>
          <w:color w:val="000000" w:themeColor="text1"/>
          <w:sz w:val="24"/>
          <w:szCs w:val="24"/>
        </w:rPr>
        <w:t xml:space="preserve"> and </w:t>
      </w:r>
      <w:r w:rsidR="00332111">
        <w:rPr>
          <w:rFonts w:ascii="Century Schoolbook" w:hAnsi="Century Schoolbook"/>
          <w:color w:val="000000" w:themeColor="text1"/>
          <w:sz w:val="24"/>
          <w:szCs w:val="24"/>
        </w:rPr>
        <w:t xml:space="preserve">to </w:t>
      </w:r>
      <w:r w:rsidR="009C429D">
        <w:rPr>
          <w:rFonts w:ascii="Century Schoolbook" w:hAnsi="Century Schoolbook"/>
          <w:color w:val="000000" w:themeColor="text1"/>
          <w:sz w:val="24"/>
          <w:szCs w:val="24"/>
        </w:rPr>
        <w:t>induce it to believe</w:t>
      </w:r>
      <w:r w:rsidRPr="006C6879">
        <w:rPr>
          <w:rFonts w:ascii="Century Schoolbook" w:hAnsi="Century Schoolbook"/>
          <w:color w:val="000000" w:themeColor="text1"/>
          <w:sz w:val="24"/>
          <w:szCs w:val="24"/>
        </w:rPr>
        <w:t xml:space="preserve"> that </w:t>
      </w:r>
      <w:r w:rsidR="009C429D">
        <w:rPr>
          <w:rFonts w:ascii="Century Schoolbook" w:hAnsi="Century Schoolbook"/>
          <w:color w:val="000000" w:themeColor="text1"/>
          <w:sz w:val="24"/>
          <w:szCs w:val="24"/>
        </w:rPr>
        <w:t xml:space="preserve">LASA’s </w:t>
      </w:r>
      <w:r w:rsidRPr="006C6879">
        <w:rPr>
          <w:rFonts w:ascii="Century Schoolbook" w:hAnsi="Century Schoolbook"/>
          <w:color w:val="000000" w:themeColor="text1"/>
          <w:sz w:val="24"/>
          <w:szCs w:val="24"/>
        </w:rPr>
        <w:t>Strategic Plan</w:t>
      </w:r>
      <w:r w:rsidR="00FC3A05">
        <w:rPr>
          <w:rFonts w:ascii="Century Schoolbook" w:hAnsi="Century Schoolbook"/>
          <w:color w:val="000000" w:themeColor="text1"/>
          <w:sz w:val="24"/>
          <w:szCs w:val="24"/>
        </w:rPr>
        <w:t xml:space="preserve"> </w:t>
      </w:r>
      <w:r w:rsidR="00332111">
        <w:rPr>
          <w:rFonts w:ascii="Century Schoolbook" w:hAnsi="Century Schoolbook"/>
          <w:color w:val="000000" w:themeColor="text1"/>
          <w:sz w:val="24"/>
          <w:szCs w:val="24"/>
        </w:rPr>
        <w:t xml:space="preserve">2009–12 </w:t>
      </w:r>
      <w:r w:rsidRPr="006C6879">
        <w:rPr>
          <w:rFonts w:ascii="Century Schoolbook" w:hAnsi="Century Schoolbook"/>
          <w:color w:val="000000" w:themeColor="text1"/>
          <w:sz w:val="24"/>
          <w:szCs w:val="24"/>
        </w:rPr>
        <w:t>regard</w:t>
      </w:r>
      <w:r w:rsidR="00486EDF">
        <w:rPr>
          <w:rFonts w:ascii="Century Schoolbook" w:hAnsi="Century Schoolbook"/>
          <w:color w:val="000000" w:themeColor="text1"/>
          <w:sz w:val="24"/>
          <w:szCs w:val="24"/>
        </w:rPr>
        <w:t xml:space="preserve">ing </w:t>
      </w:r>
      <w:r w:rsidRPr="006C6879">
        <w:rPr>
          <w:rFonts w:ascii="Century Schoolbook" w:hAnsi="Century Schoolbook"/>
          <w:color w:val="000000" w:themeColor="text1"/>
          <w:sz w:val="24"/>
          <w:szCs w:val="24"/>
        </w:rPr>
        <w:t xml:space="preserve">the recruitment of Senior Litigators to handle </w:t>
      </w:r>
      <w:r w:rsidR="003C5D62" w:rsidRPr="006C6879">
        <w:rPr>
          <w:rFonts w:ascii="Century Schoolbook" w:hAnsi="Century Schoolbook"/>
          <w:color w:val="000000" w:themeColor="text1"/>
          <w:sz w:val="24"/>
          <w:szCs w:val="24"/>
        </w:rPr>
        <w:t>complex</w:t>
      </w:r>
      <w:r w:rsidR="003C5D62">
        <w:rPr>
          <w:rFonts w:ascii="Century Schoolbook" w:hAnsi="Century Schoolbook"/>
          <w:color w:val="000000" w:themeColor="text1"/>
          <w:sz w:val="24"/>
          <w:szCs w:val="24"/>
        </w:rPr>
        <w:t xml:space="preserve"> constitutional and other</w:t>
      </w:r>
      <w:r w:rsidR="003C5D62" w:rsidRPr="006C6879">
        <w:rPr>
          <w:rFonts w:ascii="Century Schoolbook" w:hAnsi="Century Schoolbook"/>
          <w:color w:val="000000" w:themeColor="text1"/>
          <w:sz w:val="24"/>
          <w:szCs w:val="24"/>
        </w:rPr>
        <w:t xml:space="preserve"> specialist</w:t>
      </w:r>
      <w:r w:rsidRPr="006C6879">
        <w:rPr>
          <w:rFonts w:ascii="Century Schoolbook" w:hAnsi="Century Schoolbook"/>
          <w:color w:val="000000" w:themeColor="text1"/>
          <w:sz w:val="24"/>
          <w:szCs w:val="24"/>
        </w:rPr>
        <w:t xml:space="preserve"> litigation and to mentor </w:t>
      </w:r>
      <w:r w:rsidR="003C5D62">
        <w:rPr>
          <w:rFonts w:ascii="Century Schoolbook" w:hAnsi="Century Schoolbook"/>
          <w:color w:val="000000" w:themeColor="text1"/>
          <w:sz w:val="24"/>
          <w:szCs w:val="24"/>
        </w:rPr>
        <w:t>LASA’s</w:t>
      </w:r>
      <w:r w:rsidRPr="006C6879">
        <w:rPr>
          <w:rFonts w:ascii="Century Schoolbook" w:hAnsi="Century Schoolbook"/>
          <w:color w:val="000000" w:themeColor="text1"/>
          <w:sz w:val="24"/>
          <w:szCs w:val="24"/>
        </w:rPr>
        <w:t xml:space="preserve"> legal staff in conducting it had been successfully implemented and completed. Indeed, Vedalankar’s claim that </w:t>
      </w:r>
      <w:r w:rsidRPr="006C6879">
        <w:rPr>
          <w:rFonts w:ascii="Century Schoolbook" w:hAnsi="Century Schoolbook" w:cs="Calibri"/>
          <w:color w:val="000000" w:themeColor="text1"/>
          <w:sz w:val="24"/>
          <w:szCs w:val="24"/>
        </w:rPr>
        <w:t>‘Senior Litigators employed are working on complex matters in the higher courts’</w:t>
      </w:r>
      <w:r w:rsidRPr="006C6879">
        <w:rPr>
          <w:rStyle w:val="FootnoteReference"/>
          <w:rFonts w:ascii="Century Schoolbook" w:hAnsi="Century Schoolbook" w:cs="Calibri"/>
          <w:color w:val="000000" w:themeColor="text1"/>
          <w:sz w:val="24"/>
          <w:szCs w:val="24"/>
        </w:rPr>
        <w:footnoteReference w:id="163"/>
      </w:r>
      <w:r w:rsidRPr="006C6879">
        <w:rPr>
          <w:rFonts w:ascii="Century Schoolbook" w:hAnsi="Century Schoolbook" w:cs="Calibri"/>
          <w:color w:val="000000" w:themeColor="text1"/>
          <w:sz w:val="24"/>
          <w:szCs w:val="24"/>
        </w:rPr>
        <w:t xml:space="preserve"> was immediately preceded by the statement: ‘Our specialist capacity to cover commercial crimes courts, labour courts, sexual offences courts and children’s matters </w:t>
      </w:r>
      <w:r w:rsidRPr="00486EDF">
        <w:rPr>
          <w:rFonts w:ascii="Century Schoolbook" w:hAnsi="Century Schoolbook" w:cs="Calibri"/>
          <w:color w:val="000000" w:themeColor="text1"/>
          <w:sz w:val="24"/>
          <w:szCs w:val="24"/>
        </w:rPr>
        <w:t>is in place</w:t>
      </w:r>
      <w:r w:rsidRPr="006C6879">
        <w:rPr>
          <w:rFonts w:ascii="Century Schoolbook" w:hAnsi="Century Schoolbook" w:cs="Calibri"/>
          <w:color w:val="000000" w:themeColor="text1"/>
          <w:sz w:val="24"/>
          <w:szCs w:val="24"/>
        </w:rPr>
        <w:t xml:space="preserve"> and practitioners are continuously trained in handling these specialist matters.’</w:t>
      </w:r>
      <w:r w:rsidRPr="006C6879">
        <w:rPr>
          <w:rStyle w:val="FootnoteReference"/>
          <w:rFonts w:ascii="Century Schoolbook" w:hAnsi="Century Schoolbook" w:cs="Calibri"/>
          <w:color w:val="000000" w:themeColor="text1"/>
          <w:sz w:val="24"/>
          <w:szCs w:val="24"/>
        </w:rPr>
        <w:footnoteReference w:id="164"/>
      </w:r>
      <w:r w:rsidR="006B318C">
        <w:rPr>
          <w:rFonts w:ascii="Century Schoolbook" w:hAnsi="Century Schoolbook" w:cs="Calibri"/>
          <w:color w:val="000000" w:themeColor="text1"/>
          <w:sz w:val="24"/>
          <w:szCs w:val="24"/>
        </w:rPr>
        <w:t xml:space="preserve"> </w:t>
      </w:r>
    </w:p>
    <w:p w:rsidR="009B0380" w:rsidRPr="009B0380" w:rsidRDefault="00686299" w:rsidP="005E0B3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Calibri"/>
          <w:color w:val="000000" w:themeColor="text1"/>
          <w:sz w:val="24"/>
          <w:szCs w:val="24"/>
        </w:rPr>
        <w:lastRenderedPageBreak/>
        <w:t xml:space="preserve">In truth and in fact, </w:t>
      </w:r>
      <w:r w:rsidR="009B0380">
        <w:rPr>
          <w:rFonts w:ascii="Century Schoolbook" w:hAnsi="Century Schoolbook" w:cs="Calibri"/>
          <w:color w:val="000000" w:themeColor="text1"/>
          <w:sz w:val="24"/>
          <w:szCs w:val="24"/>
        </w:rPr>
        <w:t xml:space="preserve">contrary to Vedalankar’s false claim about this, </w:t>
      </w:r>
      <w:r w:rsidR="00535BB9">
        <w:rPr>
          <w:rFonts w:ascii="Century Schoolbook" w:hAnsi="Century Schoolbook" w:cs="Calibri"/>
          <w:color w:val="000000" w:themeColor="text1"/>
          <w:sz w:val="24"/>
          <w:szCs w:val="24"/>
        </w:rPr>
        <w:t>such ‘</w:t>
      </w:r>
      <w:r w:rsidR="00535BB9" w:rsidRPr="006C6879">
        <w:rPr>
          <w:rFonts w:ascii="Century Schoolbook" w:hAnsi="Century Schoolbook" w:cs="Calibri"/>
          <w:color w:val="000000" w:themeColor="text1"/>
          <w:sz w:val="24"/>
          <w:szCs w:val="24"/>
        </w:rPr>
        <w:t>specialist capacity</w:t>
      </w:r>
      <w:r w:rsidR="00535BB9">
        <w:rPr>
          <w:rFonts w:ascii="Century Schoolbook" w:hAnsi="Century Schoolbook" w:cs="Calibri"/>
          <w:color w:val="000000" w:themeColor="text1"/>
          <w:sz w:val="24"/>
          <w:szCs w:val="24"/>
        </w:rPr>
        <w:t>’</w:t>
      </w:r>
      <w:r>
        <w:rPr>
          <w:rFonts w:ascii="Century Schoolbook" w:hAnsi="Century Schoolbook" w:cs="Calibri"/>
          <w:color w:val="000000" w:themeColor="text1"/>
          <w:sz w:val="24"/>
          <w:szCs w:val="24"/>
        </w:rPr>
        <w:t xml:space="preserve"> wasn’t </w:t>
      </w:r>
      <w:r w:rsidR="00535BB9">
        <w:rPr>
          <w:rFonts w:ascii="Century Schoolbook" w:hAnsi="Century Schoolbook" w:cs="Calibri"/>
          <w:color w:val="000000" w:themeColor="text1"/>
          <w:sz w:val="24"/>
          <w:szCs w:val="24"/>
        </w:rPr>
        <w:t>‘</w:t>
      </w:r>
      <w:r>
        <w:rPr>
          <w:rFonts w:ascii="Century Schoolbook" w:hAnsi="Century Schoolbook" w:cs="Calibri"/>
          <w:color w:val="000000" w:themeColor="text1"/>
          <w:sz w:val="24"/>
          <w:szCs w:val="24"/>
        </w:rPr>
        <w:t>in place</w:t>
      </w:r>
      <w:r w:rsidR="00535BB9">
        <w:rPr>
          <w:rFonts w:ascii="Century Schoolbook" w:hAnsi="Century Schoolbook" w:cs="Calibri"/>
          <w:color w:val="000000" w:themeColor="text1"/>
          <w:sz w:val="24"/>
          <w:szCs w:val="24"/>
        </w:rPr>
        <w:t>’</w:t>
      </w:r>
      <w:r w:rsidR="0043023E">
        <w:rPr>
          <w:rFonts w:ascii="Century Schoolbook" w:hAnsi="Century Schoolbook" w:cs="Calibri"/>
          <w:color w:val="000000" w:themeColor="text1"/>
          <w:sz w:val="24"/>
          <w:szCs w:val="24"/>
        </w:rPr>
        <w:t>, inasmuch as</w:t>
      </w:r>
      <w:r w:rsidR="00486EDF">
        <w:rPr>
          <w:rFonts w:ascii="Century Schoolbook" w:hAnsi="Century Schoolbook" w:cs="Calibri"/>
          <w:color w:val="000000" w:themeColor="text1"/>
          <w:sz w:val="24"/>
          <w:szCs w:val="24"/>
        </w:rPr>
        <w:t xml:space="preserve"> </w:t>
      </w:r>
      <w:r w:rsidR="00A7764D">
        <w:rPr>
          <w:rFonts w:ascii="Century Schoolbook" w:hAnsi="Century Schoolbook" w:cs="Calibri"/>
          <w:color w:val="000000" w:themeColor="text1"/>
          <w:sz w:val="24"/>
          <w:szCs w:val="24"/>
        </w:rPr>
        <w:t>three</w:t>
      </w:r>
      <w:r w:rsidR="00486EDF">
        <w:rPr>
          <w:rFonts w:ascii="Century Schoolbook" w:hAnsi="Century Schoolbook" w:cs="Calibri"/>
          <w:color w:val="000000" w:themeColor="text1"/>
          <w:sz w:val="24"/>
          <w:szCs w:val="24"/>
        </w:rPr>
        <w:t xml:space="preserve"> of LASA’s </w:t>
      </w:r>
      <w:r w:rsidR="003E489E">
        <w:rPr>
          <w:rFonts w:ascii="Century Schoolbook" w:hAnsi="Century Schoolbook" w:cs="Calibri"/>
          <w:color w:val="000000" w:themeColor="text1"/>
          <w:sz w:val="24"/>
          <w:szCs w:val="24"/>
        </w:rPr>
        <w:t xml:space="preserve">nine budgeted and funded </w:t>
      </w:r>
      <w:r w:rsidR="00486EDF">
        <w:rPr>
          <w:rFonts w:ascii="Century Schoolbook" w:hAnsi="Century Schoolbook" w:cs="Calibri"/>
          <w:color w:val="000000" w:themeColor="text1"/>
          <w:sz w:val="24"/>
          <w:szCs w:val="24"/>
        </w:rPr>
        <w:t>Senior Litigator posts were still unfilled</w:t>
      </w:r>
      <w:r w:rsidR="00A7764D">
        <w:rPr>
          <w:rFonts w:ascii="Century Schoolbook" w:hAnsi="Century Schoolbook" w:cs="Calibri"/>
          <w:color w:val="000000" w:themeColor="text1"/>
          <w:sz w:val="24"/>
          <w:szCs w:val="24"/>
        </w:rPr>
        <w:t xml:space="preserve">, </w:t>
      </w:r>
      <w:r w:rsidR="004B110B">
        <w:rPr>
          <w:rFonts w:ascii="Century Schoolbook" w:hAnsi="Century Schoolbook" w:cs="Calibri"/>
          <w:color w:val="000000" w:themeColor="text1"/>
          <w:sz w:val="24"/>
          <w:szCs w:val="24"/>
        </w:rPr>
        <w:t xml:space="preserve">then </w:t>
      </w:r>
      <w:r w:rsidR="00A7764D">
        <w:rPr>
          <w:rFonts w:ascii="Century Schoolbook" w:hAnsi="Century Schoolbook" w:cs="Calibri"/>
          <w:color w:val="000000" w:themeColor="text1"/>
          <w:sz w:val="24"/>
          <w:szCs w:val="24"/>
        </w:rPr>
        <w:t>six years after the creation of the nine posts</w:t>
      </w:r>
      <w:r w:rsidR="004B110B">
        <w:rPr>
          <w:rFonts w:ascii="Century Schoolbook" w:hAnsi="Century Schoolbook" w:cs="Calibri"/>
          <w:color w:val="000000" w:themeColor="text1"/>
          <w:sz w:val="24"/>
          <w:szCs w:val="24"/>
        </w:rPr>
        <w:t xml:space="preserve"> in 2006</w:t>
      </w:r>
      <w:r w:rsidR="00C9275F">
        <w:rPr>
          <w:rFonts w:ascii="Century Schoolbook" w:hAnsi="Century Schoolbook" w:cs="Calibri"/>
          <w:color w:val="000000" w:themeColor="text1"/>
          <w:sz w:val="24"/>
          <w:szCs w:val="24"/>
        </w:rPr>
        <w:t>. A</w:t>
      </w:r>
      <w:r w:rsidR="00535BB9">
        <w:rPr>
          <w:rFonts w:ascii="Century Schoolbook" w:hAnsi="Century Schoolbook" w:cs="Calibri"/>
          <w:color w:val="000000" w:themeColor="text1"/>
          <w:sz w:val="24"/>
          <w:szCs w:val="24"/>
        </w:rPr>
        <w:t xml:space="preserve">s a result of </w:t>
      </w:r>
      <w:r>
        <w:rPr>
          <w:rFonts w:ascii="Century Schoolbook" w:hAnsi="Century Schoolbook" w:cs="Calibri"/>
          <w:color w:val="000000" w:themeColor="text1"/>
          <w:sz w:val="24"/>
          <w:szCs w:val="24"/>
        </w:rPr>
        <w:t xml:space="preserve">recruitment </w:t>
      </w:r>
      <w:r w:rsidR="00535BB9">
        <w:rPr>
          <w:rFonts w:ascii="Century Schoolbook" w:hAnsi="Century Schoolbook" w:cs="Calibri"/>
          <w:color w:val="000000" w:themeColor="text1"/>
          <w:sz w:val="24"/>
          <w:szCs w:val="24"/>
        </w:rPr>
        <w:t>corruption</w:t>
      </w:r>
      <w:r w:rsidR="009C429D">
        <w:rPr>
          <w:rFonts w:ascii="Century Schoolbook" w:hAnsi="Century Schoolbook" w:cs="Calibri"/>
          <w:color w:val="000000" w:themeColor="text1"/>
          <w:sz w:val="24"/>
          <w:szCs w:val="24"/>
        </w:rPr>
        <w:t xml:space="preserve"> and </w:t>
      </w:r>
      <w:r w:rsidR="009B0380">
        <w:rPr>
          <w:rFonts w:ascii="Century Schoolbook" w:hAnsi="Century Schoolbook" w:cs="Calibri"/>
          <w:color w:val="000000" w:themeColor="text1"/>
          <w:sz w:val="24"/>
          <w:szCs w:val="24"/>
        </w:rPr>
        <w:t>a</w:t>
      </w:r>
      <w:r w:rsidR="009C429D">
        <w:rPr>
          <w:rFonts w:ascii="Century Schoolbook" w:hAnsi="Century Schoolbook" w:cs="Calibri"/>
          <w:color w:val="000000" w:themeColor="text1"/>
          <w:sz w:val="24"/>
          <w:szCs w:val="24"/>
        </w:rPr>
        <w:t xml:space="preserve"> </w:t>
      </w:r>
      <w:r w:rsidR="00997381">
        <w:rPr>
          <w:rFonts w:ascii="Century Schoolbook" w:hAnsi="Century Schoolbook" w:cs="Calibri"/>
          <w:color w:val="000000" w:themeColor="text1"/>
          <w:sz w:val="24"/>
          <w:szCs w:val="24"/>
        </w:rPr>
        <w:t>now disintegrated</w:t>
      </w:r>
      <w:r w:rsidR="009C429D">
        <w:rPr>
          <w:rFonts w:ascii="Century Schoolbook" w:hAnsi="Century Schoolbook" w:cs="Calibri"/>
          <w:color w:val="000000" w:themeColor="text1"/>
          <w:sz w:val="24"/>
          <w:szCs w:val="24"/>
        </w:rPr>
        <w:t xml:space="preserve"> </w:t>
      </w:r>
      <w:r w:rsidR="009B0380">
        <w:rPr>
          <w:rFonts w:ascii="Century Schoolbook" w:hAnsi="Century Schoolbook" w:cs="Calibri"/>
          <w:color w:val="000000" w:themeColor="text1"/>
          <w:sz w:val="24"/>
          <w:szCs w:val="24"/>
        </w:rPr>
        <w:t xml:space="preserve">attempt to </w:t>
      </w:r>
      <w:r w:rsidR="009C429D">
        <w:rPr>
          <w:rFonts w:ascii="Century Schoolbook" w:hAnsi="Century Schoolbook" w:cs="Calibri"/>
          <w:color w:val="000000" w:themeColor="text1"/>
          <w:sz w:val="24"/>
          <w:szCs w:val="24"/>
        </w:rPr>
        <w:t>cover</w:t>
      </w:r>
      <w:r w:rsidR="009B0380">
        <w:rPr>
          <w:rFonts w:ascii="Century Schoolbook" w:hAnsi="Century Schoolbook" w:cs="Calibri"/>
          <w:color w:val="000000" w:themeColor="text1"/>
          <w:sz w:val="24"/>
          <w:szCs w:val="24"/>
        </w:rPr>
        <w:t xml:space="preserve"> it </w:t>
      </w:r>
      <w:r w:rsidR="009C429D">
        <w:rPr>
          <w:rFonts w:ascii="Century Schoolbook" w:hAnsi="Century Schoolbook" w:cs="Calibri"/>
          <w:color w:val="000000" w:themeColor="text1"/>
          <w:sz w:val="24"/>
          <w:szCs w:val="24"/>
        </w:rPr>
        <w:t>up</w:t>
      </w:r>
      <w:r w:rsidR="00535BB9">
        <w:rPr>
          <w:rFonts w:ascii="Century Schoolbook" w:hAnsi="Century Schoolbook" w:cs="Calibri"/>
          <w:color w:val="000000" w:themeColor="text1"/>
          <w:sz w:val="24"/>
          <w:szCs w:val="24"/>
        </w:rPr>
        <w:t xml:space="preserve">, KwaZulu-Natal had </w:t>
      </w:r>
      <w:r w:rsidR="005E0B37">
        <w:rPr>
          <w:rFonts w:ascii="Century Schoolbook" w:hAnsi="Century Schoolbook" w:cs="Calibri"/>
          <w:color w:val="000000" w:themeColor="text1"/>
          <w:sz w:val="24"/>
          <w:szCs w:val="24"/>
        </w:rPr>
        <w:t xml:space="preserve">and still has </w:t>
      </w:r>
      <w:r w:rsidR="00535BB9">
        <w:rPr>
          <w:rFonts w:ascii="Century Schoolbook" w:hAnsi="Century Schoolbook" w:cs="Calibri"/>
          <w:color w:val="000000" w:themeColor="text1"/>
          <w:sz w:val="24"/>
          <w:szCs w:val="24"/>
        </w:rPr>
        <w:t>no</w:t>
      </w:r>
      <w:r w:rsidR="005E0B37">
        <w:rPr>
          <w:rFonts w:ascii="Century Schoolbook" w:hAnsi="Century Schoolbook" w:cs="Calibri"/>
          <w:color w:val="000000" w:themeColor="text1"/>
          <w:sz w:val="24"/>
          <w:szCs w:val="24"/>
        </w:rPr>
        <w:t xml:space="preserve"> such ‘specialist capacity’</w:t>
      </w:r>
      <w:r w:rsidR="00535BB9">
        <w:rPr>
          <w:rFonts w:ascii="Century Schoolbook" w:hAnsi="Century Schoolbook" w:cs="Calibri"/>
          <w:color w:val="000000" w:themeColor="text1"/>
          <w:sz w:val="24"/>
          <w:szCs w:val="24"/>
        </w:rPr>
        <w:t xml:space="preserve"> at all, and the Eastern Cape’s</w:t>
      </w:r>
      <w:r w:rsidR="009A35E7">
        <w:rPr>
          <w:rFonts w:ascii="Century Schoolbook" w:hAnsi="Century Schoolbook" w:cs="Calibri"/>
          <w:color w:val="000000" w:themeColor="text1"/>
          <w:sz w:val="24"/>
          <w:szCs w:val="24"/>
        </w:rPr>
        <w:t xml:space="preserve"> ‘specialist capacity’ </w:t>
      </w:r>
      <w:r w:rsidR="00535BB9">
        <w:rPr>
          <w:rFonts w:ascii="Century Schoolbook" w:hAnsi="Century Schoolbook" w:cs="Calibri"/>
          <w:color w:val="000000" w:themeColor="text1"/>
          <w:sz w:val="24"/>
          <w:szCs w:val="24"/>
        </w:rPr>
        <w:t xml:space="preserve">was </w:t>
      </w:r>
      <w:r w:rsidR="005E0B37">
        <w:rPr>
          <w:rFonts w:ascii="Century Schoolbook" w:hAnsi="Century Schoolbook" w:cs="Calibri"/>
          <w:color w:val="000000" w:themeColor="text1"/>
          <w:sz w:val="24"/>
          <w:szCs w:val="24"/>
        </w:rPr>
        <w:t xml:space="preserve">and remains </w:t>
      </w:r>
      <w:r w:rsidR="004B110B">
        <w:rPr>
          <w:rFonts w:ascii="Century Schoolbook" w:hAnsi="Century Schoolbook" w:cs="Calibri"/>
          <w:color w:val="000000" w:themeColor="text1"/>
          <w:sz w:val="24"/>
          <w:szCs w:val="24"/>
        </w:rPr>
        <w:t>seriously</w:t>
      </w:r>
      <w:r w:rsidR="00535BB9">
        <w:rPr>
          <w:rFonts w:ascii="Century Schoolbook" w:hAnsi="Century Schoolbook" w:cs="Calibri"/>
          <w:color w:val="000000" w:themeColor="text1"/>
          <w:sz w:val="24"/>
          <w:szCs w:val="24"/>
        </w:rPr>
        <w:t xml:space="preserve"> constrained</w:t>
      </w:r>
      <w:r w:rsidR="003C5D62">
        <w:rPr>
          <w:rFonts w:ascii="Century Schoolbook" w:hAnsi="Century Schoolbook" w:cs="Calibri"/>
          <w:color w:val="000000" w:themeColor="text1"/>
          <w:sz w:val="24"/>
          <w:szCs w:val="24"/>
        </w:rPr>
        <w:t xml:space="preserve"> – </w:t>
      </w:r>
      <w:r w:rsidR="00A7764D">
        <w:rPr>
          <w:rFonts w:ascii="Century Schoolbook" w:hAnsi="Century Schoolbook" w:cs="Calibri"/>
          <w:color w:val="000000" w:themeColor="text1"/>
          <w:sz w:val="24"/>
          <w:szCs w:val="24"/>
        </w:rPr>
        <w:t xml:space="preserve">ten years </w:t>
      </w:r>
      <w:r w:rsidR="008F7BD8">
        <w:rPr>
          <w:rFonts w:ascii="Century Schoolbook" w:hAnsi="Century Schoolbook" w:cs="Calibri"/>
          <w:color w:val="000000" w:themeColor="text1"/>
          <w:sz w:val="24"/>
          <w:szCs w:val="24"/>
        </w:rPr>
        <w:t xml:space="preserve">after the selection and recommendation of suitable candidates for appointment to the Pietermaritzburg, Durban and Mthatha </w:t>
      </w:r>
      <w:r w:rsidR="009A35E7">
        <w:rPr>
          <w:rFonts w:ascii="Century Schoolbook" w:hAnsi="Century Schoolbook" w:cs="Calibri"/>
          <w:color w:val="000000" w:themeColor="text1"/>
          <w:sz w:val="24"/>
          <w:szCs w:val="24"/>
        </w:rPr>
        <w:t xml:space="preserve">Senior Litigator </w:t>
      </w:r>
      <w:r w:rsidR="008F7BD8">
        <w:rPr>
          <w:rFonts w:ascii="Century Schoolbook" w:hAnsi="Century Schoolbook" w:cs="Calibri"/>
          <w:color w:val="000000" w:themeColor="text1"/>
          <w:sz w:val="24"/>
          <w:szCs w:val="24"/>
        </w:rPr>
        <w:t>posts.</w:t>
      </w:r>
      <w:r w:rsidR="005E0B37">
        <w:rPr>
          <w:rFonts w:ascii="Century Schoolbook" w:hAnsi="Century Schoolbook" w:cs="Calibri"/>
          <w:color w:val="000000" w:themeColor="text1"/>
          <w:sz w:val="24"/>
          <w:szCs w:val="24"/>
        </w:rPr>
        <w:t xml:space="preserve"> </w:t>
      </w:r>
    </w:p>
    <w:p w:rsidR="006C6879" w:rsidRPr="00A7764D" w:rsidRDefault="005E0B37" w:rsidP="005E0B3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sz w:val="24"/>
          <w:szCs w:val="24"/>
        </w:rPr>
      </w:pPr>
      <w:r>
        <w:rPr>
          <w:rFonts w:ascii="Century Schoolbook" w:hAnsi="Century Schoolbook" w:cs="Calibri"/>
          <w:color w:val="000000" w:themeColor="text1"/>
          <w:sz w:val="24"/>
          <w:szCs w:val="24"/>
        </w:rPr>
        <w:t xml:space="preserve">For the same reason, Vedalankar lied in her CEO Report in implying that </w:t>
      </w:r>
      <w:r w:rsidR="00E21D15">
        <w:rPr>
          <w:rFonts w:ascii="Century Schoolbook" w:hAnsi="Century Schoolbook" w:cs="Calibri"/>
          <w:color w:val="000000" w:themeColor="text1"/>
          <w:sz w:val="24"/>
          <w:szCs w:val="24"/>
        </w:rPr>
        <w:t xml:space="preserve">in </w:t>
      </w:r>
      <w:r>
        <w:rPr>
          <w:rFonts w:ascii="Century Schoolbook" w:hAnsi="Century Schoolbook" w:cs="Calibri"/>
          <w:color w:val="000000" w:themeColor="text1"/>
          <w:sz w:val="24"/>
          <w:szCs w:val="24"/>
        </w:rPr>
        <w:t>KwaZulu-Natal</w:t>
      </w:r>
      <w:r w:rsidR="00E21D15">
        <w:rPr>
          <w:rFonts w:ascii="Century Schoolbook" w:hAnsi="Century Schoolbook" w:cs="Calibri"/>
          <w:color w:val="000000" w:themeColor="text1"/>
          <w:sz w:val="24"/>
          <w:szCs w:val="24"/>
        </w:rPr>
        <w:t xml:space="preserve"> LASA</w:t>
      </w:r>
      <w:r>
        <w:rPr>
          <w:rFonts w:ascii="Century Schoolbook" w:hAnsi="Century Schoolbook" w:cs="Calibri"/>
          <w:color w:val="000000" w:themeColor="text1"/>
          <w:sz w:val="24"/>
          <w:szCs w:val="24"/>
        </w:rPr>
        <w:t xml:space="preserve">’s </w:t>
      </w:r>
      <w:r w:rsidR="005A173B">
        <w:rPr>
          <w:rFonts w:ascii="Century Schoolbook" w:hAnsi="Century Schoolbook" w:cs="Calibri"/>
          <w:color w:val="000000" w:themeColor="text1"/>
          <w:sz w:val="24"/>
          <w:szCs w:val="24"/>
        </w:rPr>
        <w:t>legal</w:t>
      </w:r>
      <w:r>
        <w:rPr>
          <w:rFonts w:ascii="Century Schoolbook" w:hAnsi="Century Schoolbook" w:cs="Calibri"/>
          <w:color w:val="000000" w:themeColor="text1"/>
          <w:sz w:val="24"/>
          <w:szCs w:val="24"/>
        </w:rPr>
        <w:t xml:space="preserve"> ‘</w:t>
      </w:r>
      <w:r w:rsidRPr="006C6879">
        <w:rPr>
          <w:rFonts w:ascii="Century Schoolbook" w:hAnsi="Century Schoolbook" w:cs="Calibri"/>
          <w:color w:val="000000" w:themeColor="text1"/>
          <w:sz w:val="24"/>
          <w:szCs w:val="24"/>
        </w:rPr>
        <w:t>practitioners are continuously trained in handling these specialist matters</w:t>
      </w:r>
      <w:r>
        <w:rPr>
          <w:rFonts w:ascii="Century Schoolbook" w:hAnsi="Century Schoolbook" w:cs="Calibri"/>
          <w:color w:val="000000" w:themeColor="text1"/>
          <w:sz w:val="24"/>
          <w:szCs w:val="24"/>
        </w:rPr>
        <w:t>’</w:t>
      </w:r>
      <w:r w:rsidR="003C5D62">
        <w:rPr>
          <w:rFonts w:ascii="Century Schoolbook" w:hAnsi="Century Schoolbook" w:cs="Calibri"/>
          <w:color w:val="000000" w:themeColor="text1"/>
          <w:sz w:val="24"/>
          <w:szCs w:val="24"/>
        </w:rPr>
        <w:t>,</w:t>
      </w:r>
      <w:r w:rsidR="00332111">
        <w:rPr>
          <w:rFonts w:ascii="Century Schoolbook" w:hAnsi="Century Schoolbook" w:cs="Calibri"/>
          <w:color w:val="000000" w:themeColor="text1"/>
          <w:sz w:val="24"/>
          <w:szCs w:val="24"/>
        </w:rPr>
        <w:t xml:space="preserve"> as in other provinces,</w:t>
      </w:r>
      <w:r>
        <w:rPr>
          <w:rFonts w:ascii="Century Schoolbook" w:hAnsi="Century Schoolbook" w:cs="Calibri"/>
          <w:color w:val="000000" w:themeColor="text1"/>
          <w:sz w:val="24"/>
          <w:szCs w:val="24"/>
        </w:rPr>
        <w:t xml:space="preserve"> because as a result of recruitment corruption and its </w:t>
      </w:r>
      <w:r w:rsidR="009B0380">
        <w:rPr>
          <w:rFonts w:ascii="Century Schoolbook" w:hAnsi="Century Schoolbook" w:cs="Calibri"/>
          <w:color w:val="000000" w:themeColor="text1"/>
          <w:sz w:val="24"/>
          <w:szCs w:val="24"/>
        </w:rPr>
        <w:t xml:space="preserve">fumbled </w:t>
      </w:r>
      <w:r w:rsidRPr="005E0B37">
        <w:rPr>
          <w:rFonts w:ascii="Century Schoolbook" w:hAnsi="Century Schoolbook" w:cs="Calibri"/>
          <w:color w:val="000000" w:themeColor="text1"/>
          <w:sz w:val="24"/>
          <w:szCs w:val="24"/>
        </w:rPr>
        <w:t>cover-up, KwaZulu-Natal has no Senior Litigators</w:t>
      </w:r>
      <w:r w:rsidR="00E21D15" w:rsidRPr="00E21D15">
        <w:rPr>
          <w:rFonts w:ascii="Century Schoolbook" w:hAnsi="Century Schoolbook" w:cs="Calibri"/>
          <w:color w:val="000000" w:themeColor="text1"/>
          <w:sz w:val="24"/>
          <w:szCs w:val="24"/>
        </w:rPr>
        <w:t xml:space="preserve"> </w:t>
      </w:r>
      <w:r w:rsidR="00E21D15">
        <w:rPr>
          <w:rFonts w:ascii="Century Schoolbook" w:hAnsi="Century Schoolbook" w:cs="Calibri"/>
          <w:color w:val="000000" w:themeColor="text1"/>
          <w:sz w:val="24"/>
          <w:szCs w:val="24"/>
        </w:rPr>
        <w:t>at all</w:t>
      </w:r>
      <w:r w:rsidRPr="005E0B37">
        <w:rPr>
          <w:rFonts w:ascii="Century Schoolbook" w:hAnsi="Century Schoolbook" w:cs="Calibri"/>
          <w:color w:val="000000" w:themeColor="text1"/>
          <w:sz w:val="24"/>
          <w:szCs w:val="24"/>
        </w:rPr>
        <w:t xml:space="preserve"> </w:t>
      </w:r>
      <w:r w:rsidR="00332111">
        <w:rPr>
          <w:rFonts w:ascii="Century Schoolbook" w:hAnsi="Century Schoolbook" w:cs="Calibri"/>
          <w:color w:val="000000" w:themeColor="text1"/>
          <w:sz w:val="24"/>
          <w:szCs w:val="24"/>
        </w:rPr>
        <w:t xml:space="preserve">to ‘train’ </w:t>
      </w:r>
      <w:r w:rsidRPr="005E0B37">
        <w:rPr>
          <w:rFonts w:ascii="Century Schoolbook" w:hAnsi="Century Schoolbook" w:cs="Calibri"/>
          <w:color w:val="000000" w:themeColor="text1"/>
          <w:sz w:val="24"/>
          <w:szCs w:val="24"/>
        </w:rPr>
        <w:t>them,</w:t>
      </w:r>
      <w:r>
        <w:rPr>
          <w:rFonts w:ascii="Century Schoolbook" w:hAnsi="Century Schoolbook" w:cs="Calibri"/>
          <w:color w:val="000000" w:themeColor="text1"/>
          <w:sz w:val="24"/>
          <w:szCs w:val="24"/>
        </w:rPr>
        <w:t xml:space="preserve"> i.e.</w:t>
      </w:r>
      <w:r w:rsidRPr="005E0B37">
        <w:rPr>
          <w:rFonts w:ascii="Century Schoolbook" w:hAnsi="Century Schoolbook" w:cs="Calibri"/>
          <w:color w:val="000000" w:themeColor="text1"/>
          <w:sz w:val="24"/>
          <w:szCs w:val="24"/>
        </w:rPr>
        <w:t xml:space="preserve"> </w:t>
      </w:r>
      <w:r w:rsidRPr="005E0B37">
        <w:rPr>
          <w:rFonts w:ascii="Century Schoolbook" w:hAnsi="Century Schoolbook" w:cs="Arial"/>
          <w:color w:val="000000" w:themeColor="text1"/>
          <w:sz w:val="24"/>
          <w:szCs w:val="24"/>
        </w:rPr>
        <w:t>to ‘Develop the litigation expertise within the LAB by providing individual mentoring and coaching to legal staff’</w:t>
      </w:r>
      <w:r w:rsidRPr="005E0B37">
        <w:rPr>
          <w:rFonts w:ascii="Century Schoolbook" w:hAnsi="Century Schoolbook" w:cs="Calibri"/>
          <w:color w:val="000000" w:themeColor="text1"/>
          <w:sz w:val="24"/>
          <w:szCs w:val="24"/>
        </w:rPr>
        <w:t xml:space="preserve"> as </w:t>
      </w:r>
      <w:r w:rsidRPr="005E0B37">
        <w:rPr>
          <w:rFonts w:ascii="Century Schoolbook" w:hAnsi="Century Schoolbook" w:cs="Arial"/>
          <w:color w:val="000000" w:themeColor="text1"/>
          <w:sz w:val="24"/>
          <w:szCs w:val="24"/>
        </w:rPr>
        <w:t>envisaged in the advertised job description</w:t>
      </w:r>
      <w:r>
        <w:rPr>
          <w:rFonts w:ascii="Century Schoolbook" w:hAnsi="Century Schoolbook" w:cs="Arial"/>
          <w:color w:val="000000" w:themeColor="text1"/>
          <w:sz w:val="24"/>
          <w:szCs w:val="24"/>
        </w:rPr>
        <w:t>;</w:t>
      </w:r>
      <w:r w:rsidRPr="005E0B37">
        <w:rPr>
          <w:rStyle w:val="FootnoteReference"/>
          <w:rFonts w:ascii="Century Schoolbook" w:hAnsi="Century Schoolbook" w:cs="Arial"/>
          <w:color w:val="000000" w:themeColor="text1"/>
          <w:sz w:val="24"/>
          <w:szCs w:val="24"/>
        </w:rPr>
        <w:footnoteReference w:id="165"/>
      </w:r>
      <w:r w:rsidRPr="005E0B37">
        <w:rPr>
          <w:rFonts w:ascii="Century Schoolbook" w:hAnsi="Century Schoolbook" w:cs="Arial"/>
          <w:color w:val="000000" w:themeColor="text1"/>
          <w:sz w:val="24"/>
          <w:szCs w:val="24"/>
        </w:rPr>
        <w:t xml:space="preserve"> to ‘provide support for practitioners in more complex matters’,</w:t>
      </w:r>
      <w:r w:rsidRPr="005E0B37">
        <w:rPr>
          <w:rStyle w:val="FootnoteReference"/>
          <w:rFonts w:ascii="Century Schoolbook" w:hAnsi="Century Schoolbook" w:cs="Arial"/>
          <w:color w:val="000000" w:themeColor="text1"/>
          <w:sz w:val="24"/>
          <w:szCs w:val="24"/>
        </w:rPr>
        <w:t xml:space="preserve"> </w:t>
      </w:r>
      <w:r w:rsidRPr="005E0B37">
        <w:rPr>
          <w:rFonts w:ascii="Century Schoolbook" w:hAnsi="Century Schoolbook" w:cs="Arial"/>
          <w:color w:val="000000" w:themeColor="text1"/>
          <w:sz w:val="24"/>
          <w:szCs w:val="24"/>
        </w:rPr>
        <w:t>as the respondent’s Annual Report 2009/10 puts it;</w:t>
      </w:r>
      <w:r w:rsidRPr="005E0B37">
        <w:rPr>
          <w:rStyle w:val="FootnoteReference"/>
          <w:rFonts w:ascii="Century Schoolbook" w:hAnsi="Century Schoolbook" w:cs="Arial"/>
          <w:color w:val="000000" w:themeColor="text1"/>
          <w:sz w:val="24"/>
          <w:szCs w:val="24"/>
        </w:rPr>
        <w:footnoteReference w:id="166"/>
      </w:r>
      <w:r w:rsidRPr="005E0B37">
        <w:rPr>
          <w:rFonts w:ascii="Century Schoolbook" w:hAnsi="Century Schoolbook" w:cs="Arial"/>
          <w:color w:val="000000" w:themeColor="text1"/>
          <w:sz w:val="24"/>
          <w:szCs w:val="24"/>
        </w:rPr>
        <w:t xml:space="preserve"> and for ‘protecting the rights of women and children </w:t>
      </w:r>
      <w:r w:rsidR="009B0380">
        <w:rPr>
          <w:rFonts w:ascii="Century Schoolbook" w:hAnsi="Century Schoolbook" w:cs="Arial"/>
          <w:color w:val="000000" w:themeColor="text1"/>
          <w:sz w:val="24"/>
          <w:szCs w:val="24"/>
        </w:rPr>
        <w:t>... I</w:t>
      </w:r>
      <w:r w:rsidRPr="005E0B37">
        <w:rPr>
          <w:rFonts w:ascii="Century Schoolbook" w:hAnsi="Century Schoolbook" w:cs="Arial"/>
          <w:color w:val="000000" w:themeColor="text1"/>
          <w:sz w:val="24"/>
          <w:szCs w:val="24"/>
        </w:rPr>
        <w:t>n very complex matters, our Senior Litigators provide support and advice to practitioners that need it.’</w:t>
      </w:r>
      <w:r w:rsidRPr="005E0B37">
        <w:rPr>
          <w:rStyle w:val="FootnoteReference"/>
          <w:rFonts w:ascii="Century Schoolbook" w:hAnsi="Century Schoolbook" w:cs="Arial"/>
          <w:color w:val="000000" w:themeColor="text1"/>
          <w:sz w:val="24"/>
          <w:szCs w:val="24"/>
        </w:rPr>
        <w:footnoteReference w:id="167"/>
      </w:r>
      <w:r w:rsidRPr="005E0B37">
        <w:rPr>
          <w:rFonts w:ascii="Century Schoolbook" w:hAnsi="Century Schoolbook" w:cs="Calibri"/>
          <w:color w:val="000000" w:themeColor="text1"/>
          <w:sz w:val="24"/>
          <w:szCs w:val="24"/>
        </w:rPr>
        <w:t xml:space="preserve"> </w:t>
      </w:r>
    </w:p>
    <w:p w:rsidR="00973216" w:rsidRPr="00201982" w:rsidRDefault="00E12554" w:rsidP="005E0B37">
      <w:pPr>
        <w:pStyle w:val="ListParagraph"/>
        <w:numPr>
          <w:ilvl w:val="0"/>
          <w:numId w:val="1"/>
        </w:numPr>
        <w:tabs>
          <w:tab w:val="left" w:pos="284"/>
          <w:tab w:val="left" w:pos="426"/>
        </w:tabs>
        <w:spacing w:line="360" w:lineRule="auto"/>
        <w:ind w:left="0" w:firstLine="0"/>
        <w:contextualSpacing w:val="0"/>
        <w:rPr>
          <w:rFonts w:ascii="Century Schoolbook" w:hAnsi="Century Schoolbook" w:cs="Times New Roman"/>
          <w:color w:val="000000" w:themeColor="text1"/>
          <w:sz w:val="24"/>
          <w:szCs w:val="24"/>
        </w:rPr>
      </w:pPr>
      <w:r>
        <w:rPr>
          <w:rFonts w:ascii="Century Schoolbook" w:hAnsi="Century Schoolbook" w:cs="Calibri"/>
          <w:color w:val="000000" w:themeColor="text1"/>
          <w:sz w:val="24"/>
          <w:szCs w:val="24"/>
        </w:rPr>
        <w:t xml:space="preserve">Mlambo JP and the Board </w:t>
      </w:r>
      <w:r w:rsidR="004B110B">
        <w:rPr>
          <w:rFonts w:ascii="Century Schoolbook" w:hAnsi="Century Schoolbook" w:cs="Calibri"/>
          <w:color w:val="000000" w:themeColor="text1"/>
          <w:sz w:val="24"/>
          <w:szCs w:val="24"/>
        </w:rPr>
        <w:t xml:space="preserve">well </w:t>
      </w:r>
      <w:r>
        <w:rPr>
          <w:rFonts w:ascii="Century Schoolbook" w:hAnsi="Century Schoolbook" w:cs="Calibri"/>
          <w:color w:val="000000" w:themeColor="text1"/>
          <w:sz w:val="24"/>
          <w:szCs w:val="24"/>
        </w:rPr>
        <w:t xml:space="preserve">knew </w:t>
      </w:r>
      <w:r w:rsidR="004B110B">
        <w:rPr>
          <w:rFonts w:ascii="Century Schoolbook" w:hAnsi="Century Schoolbook" w:cs="Calibri"/>
          <w:color w:val="000000" w:themeColor="text1"/>
          <w:sz w:val="24"/>
          <w:szCs w:val="24"/>
        </w:rPr>
        <w:t xml:space="preserve">that </w:t>
      </w:r>
      <w:r>
        <w:rPr>
          <w:rFonts w:ascii="Century Schoolbook" w:hAnsi="Century Schoolbook" w:cs="Calibri"/>
          <w:color w:val="000000" w:themeColor="text1"/>
          <w:sz w:val="24"/>
          <w:szCs w:val="24"/>
        </w:rPr>
        <w:t>these claims – that Senior Litigators had been employed in fulfilment of LASA’s Strategic Plan 2009–12, and that specialist legal professional capacity was now in place for the conduct of complex litigation and for training LASA’s practitioners – were false, because a year earlier</w:t>
      </w:r>
      <w:r w:rsidR="004B110B" w:rsidRPr="004B110B">
        <w:rPr>
          <w:rFonts w:ascii="Century Schoolbook" w:hAnsi="Century Schoolbook" w:cs="Calibri"/>
          <w:color w:val="000000" w:themeColor="text1"/>
          <w:sz w:val="24"/>
          <w:szCs w:val="24"/>
        </w:rPr>
        <w:t xml:space="preserve"> </w:t>
      </w:r>
      <w:r w:rsidR="004B110B">
        <w:rPr>
          <w:rFonts w:ascii="Century Schoolbook" w:hAnsi="Century Schoolbook" w:cs="Calibri"/>
          <w:color w:val="000000" w:themeColor="text1"/>
          <w:sz w:val="24"/>
          <w:szCs w:val="24"/>
        </w:rPr>
        <w:t>in November 2011</w:t>
      </w:r>
      <w:r>
        <w:rPr>
          <w:rFonts w:ascii="Century Schoolbook" w:hAnsi="Century Schoolbook" w:cs="Calibri"/>
          <w:color w:val="000000" w:themeColor="text1"/>
          <w:sz w:val="24"/>
          <w:szCs w:val="24"/>
        </w:rPr>
        <w:t>, NOE Nair presented a ‘Report to Board’</w:t>
      </w:r>
      <w:r w:rsidR="00884CD3">
        <w:rPr>
          <w:rFonts w:ascii="Century Schoolbook" w:hAnsi="Century Schoolbook" w:cs="Calibri"/>
          <w:color w:val="000000" w:themeColor="text1"/>
          <w:sz w:val="24"/>
          <w:szCs w:val="24"/>
        </w:rPr>
        <w:t xml:space="preserve"> </w:t>
      </w:r>
      <w:r w:rsidR="005A173B">
        <w:rPr>
          <w:rFonts w:ascii="Century Schoolbook" w:hAnsi="Century Schoolbook" w:cs="Calibri"/>
          <w:color w:val="000000" w:themeColor="text1"/>
          <w:sz w:val="24"/>
          <w:szCs w:val="24"/>
        </w:rPr>
        <w:t xml:space="preserve">with the soporific title </w:t>
      </w:r>
      <w:r w:rsidR="00677C3B">
        <w:rPr>
          <w:rFonts w:ascii="Century Schoolbook" w:hAnsi="Century Schoolbook" w:cs="Calibri"/>
          <w:color w:val="000000" w:themeColor="text1"/>
          <w:sz w:val="24"/>
          <w:szCs w:val="24"/>
        </w:rPr>
        <w:t xml:space="preserve">‘Senior Litigators </w:t>
      </w:r>
      <w:r w:rsidR="00884CD3">
        <w:rPr>
          <w:rFonts w:ascii="Century Schoolbook" w:hAnsi="Century Schoolbook" w:cs="Calibri"/>
          <w:color w:val="000000" w:themeColor="text1"/>
          <w:sz w:val="24"/>
          <w:szCs w:val="24"/>
        </w:rPr>
        <w:t xml:space="preserve">Reporting Relationships and Job </w:t>
      </w:r>
      <w:r w:rsidR="00302204">
        <w:rPr>
          <w:rFonts w:ascii="Century Schoolbook" w:hAnsi="Century Schoolbook" w:cs="Calibri"/>
          <w:color w:val="000000" w:themeColor="text1"/>
          <w:sz w:val="24"/>
          <w:szCs w:val="24"/>
        </w:rPr>
        <w:t>C</w:t>
      </w:r>
      <w:r w:rsidR="00884CD3">
        <w:rPr>
          <w:rFonts w:ascii="Century Schoolbook" w:hAnsi="Century Schoolbook" w:cs="Calibri"/>
          <w:color w:val="000000" w:themeColor="text1"/>
          <w:sz w:val="24"/>
          <w:szCs w:val="24"/>
        </w:rPr>
        <w:t>larification’</w:t>
      </w:r>
      <w:r w:rsidR="00302204">
        <w:rPr>
          <w:rFonts w:ascii="Century Schoolbook" w:hAnsi="Century Schoolbook" w:cs="Calibri"/>
          <w:color w:val="000000" w:themeColor="text1"/>
          <w:sz w:val="24"/>
          <w:szCs w:val="24"/>
        </w:rPr>
        <w:t>,</w:t>
      </w:r>
      <w:r w:rsidR="00390014">
        <w:rPr>
          <w:rStyle w:val="FootnoteReference"/>
          <w:rFonts w:ascii="Century Schoolbook" w:hAnsi="Century Schoolbook" w:cs="Calibri"/>
          <w:color w:val="000000" w:themeColor="text1"/>
          <w:sz w:val="24"/>
          <w:szCs w:val="24"/>
        </w:rPr>
        <w:footnoteReference w:id="168"/>
      </w:r>
      <w:r w:rsidR="00390014">
        <w:rPr>
          <w:rFonts w:ascii="Century Schoolbook" w:hAnsi="Century Schoolbook" w:cs="Calibri"/>
          <w:color w:val="000000" w:themeColor="text1"/>
          <w:sz w:val="24"/>
          <w:szCs w:val="24"/>
        </w:rPr>
        <w:t xml:space="preserve"> </w:t>
      </w:r>
      <w:r>
        <w:rPr>
          <w:rFonts w:ascii="Century Schoolbook" w:hAnsi="Century Schoolbook" w:cs="Calibri"/>
          <w:color w:val="000000" w:themeColor="text1"/>
          <w:sz w:val="24"/>
          <w:szCs w:val="24"/>
        </w:rPr>
        <w:t xml:space="preserve">in which he </w:t>
      </w:r>
      <w:r w:rsidR="00BA61EC">
        <w:rPr>
          <w:rFonts w:ascii="Century Schoolbook" w:hAnsi="Century Schoolbook" w:cs="Calibri"/>
          <w:color w:val="000000" w:themeColor="text1"/>
          <w:sz w:val="24"/>
          <w:szCs w:val="24"/>
        </w:rPr>
        <w:t>advanced new</w:t>
      </w:r>
      <w:r w:rsidR="00302204">
        <w:rPr>
          <w:rFonts w:ascii="Century Schoolbook" w:hAnsi="Century Schoolbook" w:cs="Calibri"/>
          <w:color w:val="000000" w:themeColor="text1"/>
          <w:sz w:val="24"/>
          <w:szCs w:val="24"/>
        </w:rPr>
        <w:t>,</w:t>
      </w:r>
      <w:r w:rsidR="00BA61EC">
        <w:rPr>
          <w:rFonts w:ascii="Century Schoolbook" w:hAnsi="Century Schoolbook" w:cs="Calibri"/>
          <w:color w:val="000000" w:themeColor="text1"/>
          <w:sz w:val="24"/>
          <w:szCs w:val="24"/>
        </w:rPr>
        <w:t xml:space="preserve"> </w:t>
      </w:r>
      <w:r w:rsidR="00302204">
        <w:rPr>
          <w:rFonts w:ascii="Century Schoolbook" w:hAnsi="Century Schoolbook" w:cs="Calibri"/>
          <w:color w:val="000000" w:themeColor="text1"/>
          <w:sz w:val="24"/>
          <w:szCs w:val="24"/>
        </w:rPr>
        <w:t xml:space="preserve">quite different </w:t>
      </w:r>
      <w:r w:rsidR="00BA61EC">
        <w:rPr>
          <w:rFonts w:ascii="Century Schoolbook" w:hAnsi="Century Schoolbook" w:cs="Calibri"/>
          <w:color w:val="000000" w:themeColor="text1"/>
          <w:sz w:val="24"/>
          <w:szCs w:val="24"/>
        </w:rPr>
        <w:t>untruthful excuses</w:t>
      </w:r>
      <w:r w:rsidR="00BA61EC" w:rsidRPr="00E12554">
        <w:rPr>
          <w:rFonts w:ascii="Century Schoolbook" w:hAnsi="Century Schoolbook" w:cs="Calibri"/>
          <w:color w:val="000000" w:themeColor="text1"/>
          <w:sz w:val="24"/>
          <w:szCs w:val="24"/>
        </w:rPr>
        <w:t xml:space="preserve"> </w:t>
      </w:r>
      <w:r w:rsidR="00BA61EC">
        <w:rPr>
          <w:rFonts w:ascii="Century Schoolbook" w:hAnsi="Century Schoolbook" w:cs="Calibri"/>
          <w:color w:val="000000" w:themeColor="text1"/>
          <w:sz w:val="24"/>
          <w:szCs w:val="24"/>
        </w:rPr>
        <w:t>(unsupported, contradicted and refuted by LASA’s own records) having nothing whatsoever to do with</w:t>
      </w:r>
      <w:r w:rsidR="008F7BD8">
        <w:rPr>
          <w:rFonts w:ascii="Century Schoolbook" w:hAnsi="Century Schoolbook" w:cs="Calibri"/>
          <w:color w:val="000000" w:themeColor="text1"/>
          <w:sz w:val="24"/>
          <w:szCs w:val="24"/>
        </w:rPr>
        <w:t xml:space="preserve"> the</w:t>
      </w:r>
      <w:r w:rsidR="00BA61EC">
        <w:rPr>
          <w:rFonts w:ascii="Century Schoolbook" w:hAnsi="Century Schoolbook" w:cs="Calibri"/>
          <w:color w:val="000000" w:themeColor="text1"/>
          <w:sz w:val="24"/>
          <w:szCs w:val="24"/>
        </w:rPr>
        <w:t xml:space="preserve"> budgetary insufficiency </w:t>
      </w:r>
      <w:r w:rsidR="008F7BD8">
        <w:rPr>
          <w:rFonts w:ascii="Century Schoolbook" w:hAnsi="Century Schoolbook" w:cs="Calibri"/>
          <w:color w:val="000000" w:themeColor="text1"/>
          <w:sz w:val="24"/>
          <w:szCs w:val="24"/>
        </w:rPr>
        <w:t xml:space="preserve">story </w:t>
      </w:r>
      <w:r w:rsidR="00BA61EC">
        <w:rPr>
          <w:rFonts w:ascii="Century Schoolbook" w:hAnsi="Century Schoolbook" w:cs="Calibri"/>
          <w:color w:val="000000" w:themeColor="text1"/>
          <w:sz w:val="24"/>
          <w:szCs w:val="24"/>
        </w:rPr>
        <w:t xml:space="preserve">initially falsely alleged (also </w:t>
      </w:r>
      <w:r w:rsidR="006B69BB">
        <w:rPr>
          <w:rFonts w:ascii="Century Schoolbook" w:hAnsi="Century Schoolbook" w:cs="Calibri"/>
          <w:color w:val="000000" w:themeColor="text1"/>
          <w:sz w:val="24"/>
          <w:szCs w:val="24"/>
        </w:rPr>
        <w:lastRenderedPageBreak/>
        <w:t xml:space="preserve">unsupported, </w:t>
      </w:r>
      <w:r w:rsidR="00BA61EC">
        <w:rPr>
          <w:rFonts w:ascii="Century Schoolbook" w:hAnsi="Century Schoolbook" w:cs="Calibri"/>
          <w:color w:val="000000" w:themeColor="text1"/>
          <w:sz w:val="24"/>
          <w:szCs w:val="24"/>
        </w:rPr>
        <w:t xml:space="preserve">contradicted and refuted by LASA’s own records) to </w:t>
      </w:r>
      <w:r>
        <w:rPr>
          <w:rFonts w:ascii="Century Schoolbook" w:hAnsi="Century Schoolbook" w:cs="Calibri"/>
          <w:color w:val="000000" w:themeColor="text1"/>
          <w:sz w:val="24"/>
          <w:szCs w:val="24"/>
        </w:rPr>
        <w:t>justif</w:t>
      </w:r>
      <w:r w:rsidR="00BA61EC">
        <w:rPr>
          <w:rFonts w:ascii="Century Schoolbook" w:hAnsi="Century Schoolbook" w:cs="Calibri"/>
          <w:color w:val="000000" w:themeColor="text1"/>
          <w:sz w:val="24"/>
          <w:szCs w:val="24"/>
        </w:rPr>
        <w:t>y</w:t>
      </w:r>
      <w:r>
        <w:rPr>
          <w:rFonts w:ascii="Century Schoolbook" w:hAnsi="Century Schoolbook" w:cs="Calibri"/>
          <w:color w:val="000000" w:themeColor="text1"/>
          <w:sz w:val="24"/>
          <w:szCs w:val="24"/>
        </w:rPr>
        <w:t xml:space="preserve"> </w:t>
      </w:r>
      <w:r w:rsidR="00B73551">
        <w:rPr>
          <w:rFonts w:ascii="Century Schoolbook" w:hAnsi="Century Schoolbook" w:cs="Calibri"/>
          <w:color w:val="000000" w:themeColor="text1"/>
          <w:sz w:val="24"/>
          <w:szCs w:val="24"/>
        </w:rPr>
        <w:t>his</w:t>
      </w:r>
      <w:r>
        <w:rPr>
          <w:rFonts w:ascii="Century Schoolbook" w:hAnsi="Century Schoolbook" w:cs="Calibri"/>
          <w:color w:val="000000" w:themeColor="text1"/>
          <w:sz w:val="24"/>
          <w:szCs w:val="24"/>
        </w:rPr>
        <w:t xml:space="preserve"> </w:t>
      </w:r>
      <w:r w:rsidR="00B73551">
        <w:rPr>
          <w:rFonts w:ascii="Century Schoolbook" w:hAnsi="Century Schoolbook" w:cs="Calibri"/>
          <w:color w:val="000000" w:themeColor="text1"/>
          <w:sz w:val="24"/>
          <w:szCs w:val="24"/>
        </w:rPr>
        <w:t xml:space="preserve">failure (as chairperson of the Legal Services Technical Committee) to fill LASA’s </w:t>
      </w:r>
      <w:r>
        <w:rPr>
          <w:rFonts w:ascii="Century Schoolbook" w:hAnsi="Century Schoolbook" w:cs="Calibri"/>
          <w:color w:val="000000" w:themeColor="text1"/>
          <w:sz w:val="24"/>
          <w:szCs w:val="24"/>
        </w:rPr>
        <w:t xml:space="preserve">remaining three Senior Litigator </w:t>
      </w:r>
      <w:r w:rsidR="00B73551">
        <w:rPr>
          <w:rFonts w:ascii="Century Schoolbook" w:hAnsi="Century Schoolbook" w:cs="Calibri"/>
          <w:color w:val="000000" w:themeColor="text1"/>
          <w:sz w:val="24"/>
          <w:szCs w:val="24"/>
        </w:rPr>
        <w:t>post</w:t>
      </w:r>
      <w:r w:rsidR="007E1EDF">
        <w:rPr>
          <w:rFonts w:ascii="Century Schoolbook" w:hAnsi="Century Schoolbook" w:cs="Calibri"/>
          <w:color w:val="000000" w:themeColor="text1"/>
          <w:sz w:val="24"/>
          <w:szCs w:val="24"/>
        </w:rPr>
        <w:t xml:space="preserve">s </w:t>
      </w:r>
      <w:r>
        <w:rPr>
          <w:rFonts w:ascii="Century Schoolbook" w:hAnsi="Century Schoolbook" w:cs="Calibri"/>
          <w:color w:val="000000" w:themeColor="text1"/>
          <w:sz w:val="24"/>
          <w:szCs w:val="24"/>
        </w:rPr>
        <w:t>with</w:t>
      </w:r>
      <w:r w:rsidR="00BA61EC">
        <w:rPr>
          <w:rFonts w:ascii="Century Schoolbook" w:hAnsi="Century Schoolbook" w:cs="Calibri"/>
          <w:color w:val="000000" w:themeColor="text1"/>
          <w:sz w:val="24"/>
          <w:szCs w:val="24"/>
        </w:rPr>
        <w:t xml:space="preserve"> the candidates recommended for them</w:t>
      </w:r>
      <w:r w:rsidR="005A173B">
        <w:rPr>
          <w:rFonts w:ascii="Century Schoolbook" w:hAnsi="Century Schoolbook" w:cs="Calibri"/>
          <w:color w:val="000000" w:themeColor="text1"/>
          <w:sz w:val="24"/>
          <w:szCs w:val="24"/>
        </w:rPr>
        <w:t xml:space="preserve"> </w:t>
      </w:r>
      <w:r w:rsidR="00302204">
        <w:rPr>
          <w:rFonts w:ascii="Century Schoolbook" w:hAnsi="Century Schoolbook" w:cs="Calibri"/>
          <w:color w:val="000000" w:themeColor="text1"/>
          <w:sz w:val="24"/>
          <w:szCs w:val="24"/>
        </w:rPr>
        <w:t xml:space="preserve">by approving the </w:t>
      </w:r>
      <w:r w:rsidR="003C5D62">
        <w:rPr>
          <w:rFonts w:ascii="Century Schoolbook" w:hAnsi="Century Schoolbook" w:cs="Calibri"/>
          <w:color w:val="000000" w:themeColor="text1"/>
          <w:sz w:val="24"/>
          <w:szCs w:val="24"/>
        </w:rPr>
        <w:t xml:space="preserve">selection panels’ </w:t>
      </w:r>
      <w:r w:rsidR="00302204">
        <w:rPr>
          <w:rFonts w:ascii="Century Schoolbook" w:hAnsi="Century Schoolbook" w:cs="Calibri"/>
          <w:color w:val="000000" w:themeColor="text1"/>
          <w:sz w:val="24"/>
          <w:szCs w:val="24"/>
        </w:rPr>
        <w:t>recommendations</w:t>
      </w:r>
      <w:r w:rsidR="005A173B">
        <w:rPr>
          <w:rFonts w:ascii="Century Schoolbook" w:hAnsi="Century Schoolbook" w:cs="Calibri"/>
          <w:color w:val="000000" w:themeColor="text1"/>
          <w:sz w:val="24"/>
          <w:szCs w:val="24"/>
        </w:rPr>
        <w:t xml:space="preserve"> (</w:t>
      </w:r>
      <w:r w:rsidR="00DB1C0A">
        <w:rPr>
          <w:rFonts w:ascii="Century Schoolbook" w:hAnsi="Century Schoolbook" w:cs="Calibri"/>
          <w:color w:val="000000" w:themeColor="text1"/>
          <w:sz w:val="24"/>
          <w:szCs w:val="24"/>
        </w:rPr>
        <w:t>his responsibility</w:t>
      </w:r>
      <w:r w:rsidR="003C5D62">
        <w:rPr>
          <w:rFonts w:ascii="Century Schoolbook" w:hAnsi="Century Schoolbook" w:cs="Calibri"/>
          <w:color w:val="000000" w:themeColor="text1"/>
          <w:sz w:val="24"/>
          <w:szCs w:val="24"/>
        </w:rPr>
        <w:t>)</w:t>
      </w:r>
      <w:r w:rsidR="00973216">
        <w:rPr>
          <w:rFonts w:ascii="Century Schoolbook" w:hAnsi="Century Schoolbook" w:cs="Calibri"/>
          <w:color w:val="000000" w:themeColor="text1"/>
          <w:sz w:val="24"/>
          <w:szCs w:val="24"/>
        </w:rPr>
        <w:t>,</w:t>
      </w:r>
      <w:r w:rsidR="00302204">
        <w:rPr>
          <w:rStyle w:val="FootnoteReference"/>
          <w:rFonts w:ascii="Century Schoolbook" w:hAnsi="Century Schoolbook" w:cs="Calibri"/>
          <w:color w:val="000000" w:themeColor="text1"/>
          <w:sz w:val="24"/>
          <w:szCs w:val="24"/>
        </w:rPr>
        <w:footnoteReference w:id="169"/>
      </w:r>
      <w:r w:rsidR="00973216">
        <w:rPr>
          <w:rFonts w:ascii="Century Schoolbook" w:hAnsi="Century Schoolbook" w:cs="Calibri"/>
          <w:color w:val="000000" w:themeColor="text1"/>
          <w:sz w:val="24"/>
          <w:szCs w:val="24"/>
        </w:rPr>
        <w:t xml:space="preserve"> </w:t>
      </w:r>
      <w:r w:rsidR="00A7764D">
        <w:rPr>
          <w:rFonts w:ascii="Century Schoolbook" w:hAnsi="Century Schoolbook" w:cs="Calibri"/>
          <w:color w:val="000000" w:themeColor="text1"/>
          <w:sz w:val="24"/>
          <w:szCs w:val="24"/>
        </w:rPr>
        <w:t>after the collapse</w:t>
      </w:r>
      <w:r w:rsidR="00BA61EC">
        <w:rPr>
          <w:rFonts w:ascii="Century Schoolbook" w:hAnsi="Century Schoolbook" w:cs="Calibri"/>
          <w:color w:val="000000" w:themeColor="text1"/>
          <w:sz w:val="24"/>
          <w:szCs w:val="24"/>
        </w:rPr>
        <w:t xml:space="preserve">, when tested and </w:t>
      </w:r>
      <w:r w:rsidR="00884CD3">
        <w:rPr>
          <w:rFonts w:ascii="Century Schoolbook" w:hAnsi="Century Schoolbook" w:cs="Calibri"/>
          <w:color w:val="000000" w:themeColor="text1"/>
          <w:sz w:val="24"/>
          <w:szCs w:val="24"/>
        </w:rPr>
        <w:t>expose</w:t>
      </w:r>
      <w:r w:rsidR="007E1EDF">
        <w:rPr>
          <w:rFonts w:ascii="Century Schoolbook" w:hAnsi="Century Schoolbook" w:cs="Calibri"/>
          <w:color w:val="000000" w:themeColor="text1"/>
          <w:sz w:val="24"/>
          <w:szCs w:val="24"/>
        </w:rPr>
        <w:t xml:space="preserve">d, </w:t>
      </w:r>
      <w:r w:rsidR="00A7764D">
        <w:rPr>
          <w:rFonts w:ascii="Century Schoolbook" w:hAnsi="Century Schoolbook" w:cs="Calibri"/>
          <w:color w:val="000000" w:themeColor="text1"/>
          <w:sz w:val="24"/>
          <w:szCs w:val="24"/>
        </w:rPr>
        <w:t>of th</w:t>
      </w:r>
      <w:r w:rsidR="00390014">
        <w:rPr>
          <w:rFonts w:ascii="Century Schoolbook" w:hAnsi="Century Schoolbook" w:cs="Calibri"/>
          <w:color w:val="000000" w:themeColor="text1"/>
          <w:sz w:val="24"/>
          <w:szCs w:val="24"/>
        </w:rPr>
        <w:t>e</w:t>
      </w:r>
      <w:r w:rsidR="004B110B">
        <w:rPr>
          <w:rFonts w:ascii="Century Schoolbook" w:hAnsi="Century Schoolbook" w:cs="Calibri"/>
          <w:color w:val="000000" w:themeColor="text1"/>
          <w:sz w:val="24"/>
          <w:szCs w:val="24"/>
        </w:rPr>
        <w:t xml:space="preserve"> bogus </w:t>
      </w:r>
      <w:r w:rsidR="007E1EDF">
        <w:rPr>
          <w:rFonts w:ascii="Century Schoolbook" w:hAnsi="Century Schoolbook" w:cs="Calibri"/>
          <w:color w:val="000000" w:themeColor="text1"/>
          <w:sz w:val="24"/>
          <w:szCs w:val="24"/>
        </w:rPr>
        <w:t xml:space="preserve">financial </w:t>
      </w:r>
      <w:r w:rsidR="00302204">
        <w:rPr>
          <w:rFonts w:ascii="Century Schoolbook" w:hAnsi="Century Schoolbook" w:cs="Calibri"/>
          <w:color w:val="000000" w:themeColor="text1"/>
          <w:sz w:val="24"/>
          <w:szCs w:val="24"/>
        </w:rPr>
        <w:t xml:space="preserve">insufficiency </w:t>
      </w:r>
      <w:r w:rsidR="00A7764D">
        <w:rPr>
          <w:rFonts w:ascii="Century Schoolbook" w:hAnsi="Century Schoolbook" w:cs="Calibri"/>
          <w:color w:val="000000" w:themeColor="text1"/>
          <w:sz w:val="24"/>
          <w:szCs w:val="24"/>
        </w:rPr>
        <w:t xml:space="preserve">cover-story </w:t>
      </w:r>
      <w:r w:rsidR="00524474">
        <w:rPr>
          <w:rFonts w:ascii="Century Schoolbook" w:hAnsi="Century Schoolbook" w:cs="Calibri"/>
          <w:color w:val="000000" w:themeColor="text1"/>
          <w:sz w:val="24"/>
          <w:szCs w:val="24"/>
        </w:rPr>
        <w:t>for ‘freezing’ the three vacant Senior Litigator posts</w:t>
      </w:r>
      <w:r w:rsidR="005A173B">
        <w:rPr>
          <w:rFonts w:ascii="Century Schoolbook" w:hAnsi="Century Schoolbook" w:cs="Calibri"/>
          <w:color w:val="000000" w:themeColor="text1"/>
          <w:sz w:val="24"/>
          <w:szCs w:val="24"/>
        </w:rPr>
        <w:t xml:space="preserve"> at point that</w:t>
      </w:r>
      <w:r w:rsidR="005A173B" w:rsidRPr="005A173B">
        <w:rPr>
          <w:rFonts w:ascii="Century Schoolbook" w:hAnsi="Century Schoolbook" w:cs="Calibri"/>
          <w:color w:val="000000" w:themeColor="text1"/>
          <w:sz w:val="24"/>
          <w:szCs w:val="24"/>
        </w:rPr>
        <w:t xml:space="preserve"> </w:t>
      </w:r>
      <w:r w:rsidR="005A173B">
        <w:rPr>
          <w:rFonts w:ascii="Century Schoolbook" w:hAnsi="Century Schoolbook" w:cs="Calibri"/>
          <w:color w:val="000000" w:themeColor="text1"/>
          <w:sz w:val="24"/>
          <w:szCs w:val="24"/>
        </w:rPr>
        <w:t>the recruitment processes had been completed</w:t>
      </w:r>
      <w:r w:rsidR="004B110B">
        <w:rPr>
          <w:rFonts w:ascii="Century Schoolbook" w:hAnsi="Century Schoolbook" w:cs="Calibri"/>
          <w:color w:val="000000" w:themeColor="text1"/>
          <w:sz w:val="24"/>
          <w:szCs w:val="24"/>
        </w:rPr>
        <w:t>.</w:t>
      </w:r>
      <w:r w:rsidR="00524474">
        <w:rPr>
          <w:rFonts w:ascii="Century Schoolbook" w:hAnsi="Century Schoolbook" w:cs="Calibri"/>
          <w:color w:val="000000" w:themeColor="text1"/>
          <w:sz w:val="24"/>
          <w:szCs w:val="24"/>
        </w:rPr>
        <w:t xml:space="preserve"> </w:t>
      </w:r>
      <w:r w:rsidR="007E1EDF">
        <w:rPr>
          <w:rFonts w:ascii="Century Schoolbook" w:hAnsi="Century Schoolbook" w:cs="Calibri"/>
          <w:color w:val="000000" w:themeColor="text1"/>
          <w:sz w:val="24"/>
          <w:szCs w:val="24"/>
        </w:rPr>
        <w:t xml:space="preserve">(All the different, </w:t>
      </w:r>
      <w:r w:rsidR="007178E5">
        <w:rPr>
          <w:rFonts w:ascii="Century Schoolbook" w:hAnsi="Century Schoolbook" w:cs="Calibri"/>
          <w:color w:val="000000" w:themeColor="text1"/>
          <w:sz w:val="24"/>
          <w:szCs w:val="24"/>
        </w:rPr>
        <w:t xml:space="preserve">clashing, </w:t>
      </w:r>
      <w:r w:rsidR="007E1EDF">
        <w:rPr>
          <w:rFonts w:ascii="Century Schoolbook" w:hAnsi="Century Schoolbook" w:cs="Calibri"/>
          <w:color w:val="000000" w:themeColor="text1"/>
          <w:sz w:val="24"/>
          <w:szCs w:val="24"/>
        </w:rPr>
        <w:t>chopping and changing cover</w:t>
      </w:r>
      <w:r w:rsidR="001D3056">
        <w:rPr>
          <w:rFonts w:ascii="Century Schoolbook" w:hAnsi="Century Schoolbook" w:cs="Calibri"/>
          <w:color w:val="000000" w:themeColor="text1"/>
          <w:sz w:val="24"/>
          <w:szCs w:val="24"/>
        </w:rPr>
        <w:t>-</w:t>
      </w:r>
      <w:r w:rsidR="007E1EDF">
        <w:rPr>
          <w:rFonts w:ascii="Century Schoolbook" w:hAnsi="Century Schoolbook" w:cs="Calibri"/>
          <w:color w:val="000000" w:themeColor="text1"/>
          <w:sz w:val="24"/>
          <w:szCs w:val="24"/>
        </w:rPr>
        <w:t>stories</w:t>
      </w:r>
      <w:r w:rsidR="00BA61EC">
        <w:rPr>
          <w:rFonts w:ascii="Century Schoolbook" w:hAnsi="Century Schoolbook" w:cs="Calibri"/>
          <w:color w:val="000000" w:themeColor="text1"/>
          <w:sz w:val="24"/>
          <w:szCs w:val="24"/>
        </w:rPr>
        <w:t xml:space="preserve"> </w:t>
      </w:r>
      <w:r w:rsidR="00884CD3">
        <w:rPr>
          <w:rFonts w:ascii="Century Schoolbook" w:hAnsi="Century Schoolbook" w:cs="Calibri"/>
          <w:color w:val="000000" w:themeColor="text1"/>
          <w:sz w:val="24"/>
          <w:szCs w:val="24"/>
        </w:rPr>
        <w:t>var</w:t>
      </w:r>
      <w:r w:rsidR="00884CD3" w:rsidRPr="00201982">
        <w:rPr>
          <w:rFonts w:ascii="Century Schoolbook" w:hAnsi="Century Schoolbook" w:cs="Calibri"/>
          <w:color w:val="000000" w:themeColor="text1"/>
          <w:sz w:val="24"/>
          <w:szCs w:val="24"/>
        </w:rPr>
        <w:t xml:space="preserve">iously </w:t>
      </w:r>
      <w:r w:rsidR="00BA61EC" w:rsidRPr="00201982">
        <w:rPr>
          <w:rFonts w:ascii="Century Schoolbook" w:hAnsi="Century Schoolbook" w:cs="Calibri"/>
          <w:color w:val="000000" w:themeColor="text1"/>
          <w:sz w:val="24"/>
          <w:szCs w:val="24"/>
        </w:rPr>
        <w:t xml:space="preserve">told </w:t>
      </w:r>
      <w:r w:rsidR="006B69BB">
        <w:rPr>
          <w:rFonts w:ascii="Century Schoolbook" w:hAnsi="Century Schoolbook" w:cs="Calibri"/>
          <w:color w:val="000000" w:themeColor="text1"/>
          <w:sz w:val="24"/>
          <w:szCs w:val="24"/>
        </w:rPr>
        <w:t>in correspondence, on affidavit</w:t>
      </w:r>
      <w:r w:rsidR="00BA61EC" w:rsidRPr="00201982">
        <w:rPr>
          <w:rFonts w:ascii="Century Schoolbook" w:hAnsi="Century Schoolbook" w:cs="Calibri"/>
          <w:color w:val="000000" w:themeColor="text1"/>
          <w:sz w:val="24"/>
          <w:szCs w:val="24"/>
        </w:rPr>
        <w:t>, to the Minister, to the Portfolio Committee, and in court</w:t>
      </w:r>
      <w:r w:rsidR="007E1EDF" w:rsidRPr="00201982">
        <w:rPr>
          <w:rFonts w:ascii="Century Schoolbook" w:hAnsi="Century Schoolbook" w:cs="Calibri"/>
          <w:color w:val="000000" w:themeColor="text1"/>
          <w:sz w:val="24"/>
          <w:szCs w:val="24"/>
        </w:rPr>
        <w:t xml:space="preserve"> will be quoted and treated in </w:t>
      </w:r>
      <w:r w:rsidR="001353E6" w:rsidRPr="00201982">
        <w:rPr>
          <w:rFonts w:ascii="Century Schoolbook" w:hAnsi="Century Schoolbook" w:cs="Calibri"/>
          <w:color w:val="000000" w:themeColor="text1"/>
          <w:sz w:val="24"/>
          <w:szCs w:val="24"/>
        </w:rPr>
        <w:t>other</w:t>
      </w:r>
      <w:r w:rsidR="007E1EDF" w:rsidRPr="00201982">
        <w:rPr>
          <w:rFonts w:ascii="Century Schoolbook" w:hAnsi="Century Schoolbook" w:cs="Calibri"/>
          <w:color w:val="000000" w:themeColor="text1"/>
          <w:sz w:val="24"/>
          <w:szCs w:val="24"/>
        </w:rPr>
        <w:t xml:space="preserve"> </w:t>
      </w:r>
      <w:r w:rsidR="007864BA">
        <w:rPr>
          <w:rFonts w:ascii="Century Schoolbook" w:hAnsi="Century Schoolbook" w:cs="Calibri"/>
          <w:color w:val="000000" w:themeColor="text1"/>
          <w:sz w:val="24"/>
          <w:szCs w:val="24"/>
        </w:rPr>
        <w:t>p</w:t>
      </w:r>
      <w:r w:rsidR="007E1EDF" w:rsidRPr="00201982">
        <w:rPr>
          <w:rFonts w:ascii="Century Schoolbook" w:hAnsi="Century Schoolbook" w:cs="Calibri"/>
          <w:color w:val="000000" w:themeColor="text1"/>
          <w:sz w:val="24"/>
          <w:szCs w:val="24"/>
        </w:rPr>
        <w:t xml:space="preserve">arts </w:t>
      </w:r>
      <w:r w:rsidR="001353E6" w:rsidRPr="00201982">
        <w:rPr>
          <w:rFonts w:ascii="Century Schoolbook" w:hAnsi="Century Schoolbook" w:cs="Calibri"/>
          <w:color w:val="000000" w:themeColor="text1"/>
          <w:sz w:val="24"/>
          <w:szCs w:val="24"/>
        </w:rPr>
        <w:t>of</w:t>
      </w:r>
      <w:r w:rsidR="007E1EDF" w:rsidRPr="00201982">
        <w:rPr>
          <w:rFonts w:ascii="Century Schoolbook" w:hAnsi="Century Schoolbook" w:cs="Calibri"/>
          <w:color w:val="000000" w:themeColor="text1"/>
          <w:sz w:val="24"/>
          <w:szCs w:val="24"/>
        </w:rPr>
        <w:t xml:space="preserve"> this complaint to follow.)</w:t>
      </w:r>
    </w:p>
    <w:p w:rsidR="006C6879" w:rsidRPr="00201982" w:rsidRDefault="00973216" w:rsidP="001353E6">
      <w:pPr>
        <w:pStyle w:val="ListParagraph"/>
        <w:numPr>
          <w:ilvl w:val="0"/>
          <w:numId w:val="1"/>
        </w:numPr>
        <w:tabs>
          <w:tab w:val="left" w:pos="284"/>
          <w:tab w:val="left" w:pos="426"/>
        </w:tabs>
        <w:spacing w:line="360" w:lineRule="auto"/>
        <w:ind w:left="0" w:firstLine="0"/>
        <w:contextualSpacing w:val="0"/>
        <w:rPr>
          <w:rFonts w:ascii="Century Schoolbook" w:hAnsi="Century Schoolbook"/>
          <w:color w:val="000000" w:themeColor="text1"/>
          <w:sz w:val="24"/>
          <w:szCs w:val="24"/>
          <w:shd w:val="clear" w:color="auto" w:fill="FFFFFF"/>
        </w:rPr>
      </w:pPr>
      <w:r w:rsidRPr="00201982">
        <w:rPr>
          <w:rFonts w:ascii="Century Schoolbook" w:hAnsi="Century Schoolbook" w:cs="Calibri"/>
          <w:color w:val="000000" w:themeColor="text1"/>
          <w:sz w:val="24"/>
          <w:szCs w:val="24"/>
        </w:rPr>
        <w:t xml:space="preserve">In short, in making </w:t>
      </w:r>
      <w:r w:rsidR="005A173B">
        <w:rPr>
          <w:rFonts w:ascii="Century Schoolbook" w:hAnsi="Century Schoolbook" w:cs="Calibri"/>
          <w:color w:val="000000" w:themeColor="text1"/>
          <w:sz w:val="24"/>
          <w:szCs w:val="24"/>
        </w:rPr>
        <w:t>their</w:t>
      </w:r>
      <w:r w:rsidRPr="00201982">
        <w:rPr>
          <w:rFonts w:ascii="Century Schoolbook" w:hAnsi="Century Schoolbook" w:cs="Calibri"/>
          <w:color w:val="000000" w:themeColor="text1"/>
          <w:sz w:val="24"/>
          <w:szCs w:val="24"/>
        </w:rPr>
        <w:t xml:space="preserve"> false annual report to the Minister and </w:t>
      </w:r>
      <w:r w:rsidR="00302204">
        <w:rPr>
          <w:rFonts w:ascii="Century Schoolbook" w:hAnsi="Century Schoolbook" w:cs="Calibri"/>
          <w:color w:val="000000" w:themeColor="text1"/>
          <w:sz w:val="24"/>
          <w:szCs w:val="24"/>
        </w:rPr>
        <w:t xml:space="preserve">to the </w:t>
      </w:r>
      <w:r w:rsidRPr="00201982">
        <w:rPr>
          <w:rFonts w:ascii="Century Schoolbook" w:hAnsi="Century Schoolbook" w:cs="Calibri"/>
          <w:color w:val="000000" w:themeColor="text1"/>
          <w:sz w:val="24"/>
          <w:szCs w:val="24"/>
        </w:rPr>
        <w:t>Portfolio Committee</w:t>
      </w:r>
      <w:r w:rsidR="00E634E5" w:rsidRPr="00201982">
        <w:rPr>
          <w:rFonts w:ascii="Century Schoolbook" w:hAnsi="Century Schoolbook" w:cs="Calibri"/>
          <w:color w:val="000000" w:themeColor="text1"/>
          <w:sz w:val="24"/>
          <w:szCs w:val="24"/>
        </w:rPr>
        <w:t>,</w:t>
      </w:r>
      <w:r w:rsidRPr="00201982">
        <w:rPr>
          <w:rFonts w:ascii="Century Schoolbook" w:hAnsi="Century Schoolbook" w:cs="Calibri"/>
          <w:color w:val="000000" w:themeColor="text1"/>
          <w:sz w:val="24"/>
          <w:szCs w:val="24"/>
        </w:rPr>
        <w:t xml:space="preserve"> </w:t>
      </w:r>
      <w:r w:rsidR="004B110B" w:rsidRPr="00201982">
        <w:rPr>
          <w:rFonts w:ascii="Century Schoolbook" w:hAnsi="Century Schoolbook" w:cs="Calibri"/>
          <w:color w:val="000000" w:themeColor="text1"/>
          <w:sz w:val="24"/>
          <w:szCs w:val="24"/>
        </w:rPr>
        <w:t>Mlambo JP and the other members of the</w:t>
      </w:r>
      <w:r w:rsidRPr="00201982">
        <w:rPr>
          <w:rFonts w:ascii="Century Schoolbook" w:hAnsi="Century Schoolbook" w:cs="Calibri"/>
          <w:color w:val="000000" w:themeColor="text1"/>
          <w:sz w:val="24"/>
          <w:szCs w:val="24"/>
        </w:rPr>
        <w:t xml:space="preserve"> Board well knew, as CEO Vedalankar did, that the</w:t>
      </w:r>
      <w:r w:rsidR="005A173B">
        <w:rPr>
          <w:rFonts w:ascii="Century Schoolbook" w:hAnsi="Century Schoolbook" w:cs="Calibri"/>
          <w:color w:val="000000" w:themeColor="text1"/>
          <w:sz w:val="24"/>
          <w:szCs w:val="24"/>
        </w:rPr>
        <w:t>ir</w:t>
      </w:r>
      <w:r w:rsidRPr="00201982">
        <w:rPr>
          <w:rFonts w:ascii="Century Schoolbook" w:hAnsi="Century Schoolbook" w:cs="Calibri"/>
          <w:color w:val="000000" w:themeColor="text1"/>
          <w:sz w:val="24"/>
          <w:szCs w:val="24"/>
        </w:rPr>
        <w:t xml:space="preserve"> claims </w:t>
      </w:r>
      <w:r w:rsidR="005A173B">
        <w:rPr>
          <w:rFonts w:ascii="Century Schoolbook" w:hAnsi="Century Schoolbook" w:cs="Calibri"/>
          <w:color w:val="000000" w:themeColor="text1"/>
          <w:sz w:val="24"/>
          <w:szCs w:val="24"/>
        </w:rPr>
        <w:t xml:space="preserve">in it </w:t>
      </w:r>
      <w:r w:rsidRPr="00201982">
        <w:rPr>
          <w:rFonts w:ascii="Century Schoolbook" w:hAnsi="Century Schoolbook" w:cs="Calibri"/>
          <w:color w:val="000000" w:themeColor="text1"/>
          <w:sz w:val="24"/>
          <w:szCs w:val="24"/>
        </w:rPr>
        <w:t>were substantially false and misleading</w:t>
      </w:r>
      <w:r w:rsidR="00BE0B80" w:rsidRPr="00201982">
        <w:rPr>
          <w:rFonts w:ascii="Century Schoolbook" w:hAnsi="Century Schoolbook" w:cs="Calibri"/>
          <w:color w:val="000000" w:themeColor="text1"/>
          <w:sz w:val="24"/>
          <w:szCs w:val="24"/>
        </w:rPr>
        <w:t xml:space="preserve">, </w:t>
      </w:r>
      <w:r w:rsidR="001353E6" w:rsidRPr="00201982">
        <w:rPr>
          <w:rFonts w:ascii="Century Schoolbook" w:hAnsi="Century Schoolbook" w:cs="Calibri"/>
          <w:color w:val="000000" w:themeColor="text1"/>
          <w:sz w:val="24"/>
          <w:szCs w:val="24"/>
        </w:rPr>
        <w:t xml:space="preserve">and </w:t>
      </w:r>
      <w:r w:rsidR="005A173B">
        <w:rPr>
          <w:rFonts w:ascii="Century Schoolbook" w:hAnsi="Century Schoolbook" w:cs="Calibri"/>
          <w:color w:val="000000" w:themeColor="text1"/>
          <w:sz w:val="24"/>
          <w:szCs w:val="24"/>
        </w:rPr>
        <w:t xml:space="preserve">accordingly </w:t>
      </w:r>
      <w:r w:rsidR="001353E6" w:rsidRPr="00201982">
        <w:rPr>
          <w:rFonts w:ascii="Century Schoolbook" w:hAnsi="Century Schoolbook" w:cs="Calibri"/>
          <w:color w:val="000000" w:themeColor="text1"/>
          <w:sz w:val="24"/>
          <w:szCs w:val="24"/>
        </w:rPr>
        <w:t xml:space="preserve">they </w:t>
      </w:r>
      <w:r w:rsidR="008F7BD8">
        <w:rPr>
          <w:rFonts w:ascii="Century Schoolbook" w:hAnsi="Century Schoolbook" w:cs="Calibri"/>
          <w:color w:val="000000" w:themeColor="text1"/>
          <w:sz w:val="24"/>
          <w:szCs w:val="24"/>
        </w:rPr>
        <w:t xml:space="preserve">all </w:t>
      </w:r>
      <w:r w:rsidR="00BE0B80" w:rsidRPr="00201982">
        <w:rPr>
          <w:rFonts w:ascii="Century Schoolbook" w:hAnsi="Century Schoolbook" w:cs="Calibri"/>
          <w:color w:val="000000" w:themeColor="text1"/>
          <w:sz w:val="24"/>
          <w:szCs w:val="24"/>
        </w:rPr>
        <w:t>contraven</w:t>
      </w:r>
      <w:r w:rsidR="001353E6" w:rsidRPr="00201982">
        <w:rPr>
          <w:rFonts w:ascii="Century Schoolbook" w:hAnsi="Century Schoolbook" w:cs="Calibri"/>
          <w:color w:val="000000" w:themeColor="text1"/>
          <w:sz w:val="24"/>
          <w:szCs w:val="24"/>
        </w:rPr>
        <w:t>ed</w:t>
      </w:r>
      <w:r w:rsidR="00BE0B80" w:rsidRPr="00201982">
        <w:rPr>
          <w:rFonts w:ascii="Century Schoolbook" w:hAnsi="Century Schoolbook" w:cs="Calibri"/>
          <w:color w:val="000000" w:themeColor="text1"/>
          <w:sz w:val="24"/>
          <w:szCs w:val="24"/>
        </w:rPr>
        <w:t xml:space="preserve"> s</w:t>
      </w:r>
      <w:r w:rsidR="006C6879" w:rsidRPr="00201982">
        <w:rPr>
          <w:rFonts w:ascii="Century Schoolbook" w:hAnsi="Century Schoolbook"/>
          <w:color w:val="000000" w:themeColor="text1"/>
          <w:sz w:val="24"/>
          <w:szCs w:val="24"/>
          <w:shd w:val="clear" w:color="auto" w:fill="FFFFFF"/>
        </w:rPr>
        <w:t xml:space="preserve">ection 55(2)(a) </w:t>
      </w:r>
      <w:r w:rsidR="006B318C" w:rsidRPr="00201982">
        <w:rPr>
          <w:rFonts w:ascii="Century Schoolbook" w:hAnsi="Century Schoolbook"/>
          <w:color w:val="000000" w:themeColor="text1"/>
          <w:sz w:val="24"/>
          <w:szCs w:val="24"/>
          <w:shd w:val="clear" w:color="auto" w:fill="FFFFFF"/>
        </w:rPr>
        <w:t>of the PFMA</w:t>
      </w:r>
      <w:r w:rsidR="003C5D62">
        <w:rPr>
          <w:rFonts w:ascii="Century Schoolbook" w:hAnsi="Century Schoolbook"/>
          <w:color w:val="000000" w:themeColor="text1"/>
          <w:sz w:val="24"/>
          <w:szCs w:val="24"/>
          <w:shd w:val="clear" w:color="auto" w:fill="FFFFFF"/>
        </w:rPr>
        <w:t xml:space="preserve"> (f</w:t>
      </w:r>
      <w:r w:rsidR="001353E6" w:rsidRPr="00201982">
        <w:rPr>
          <w:rFonts w:ascii="Century Schoolbook" w:hAnsi="Century Schoolbook"/>
          <w:color w:val="000000" w:themeColor="text1"/>
          <w:sz w:val="24"/>
          <w:szCs w:val="24"/>
          <w:shd w:val="clear" w:color="auto" w:fill="FFFFFF"/>
        </w:rPr>
        <w:t>ully quoted above</w:t>
      </w:r>
      <w:r w:rsidR="003C5D62">
        <w:rPr>
          <w:rFonts w:ascii="Century Schoolbook" w:hAnsi="Century Schoolbook"/>
          <w:color w:val="000000" w:themeColor="text1"/>
          <w:sz w:val="24"/>
          <w:szCs w:val="24"/>
          <w:shd w:val="clear" w:color="auto" w:fill="FFFFFF"/>
        </w:rPr>
        <w:t>)</w:t>
      </w:r>
      <w:r w:rsidR="001353E6" w:rsidRPr="00201982">
        <w:rPr>
          <w:rFonts w:ascii="Century Schoolbook" w:hAnsi="Century Schoolbook"/>
          <w:color w:val="000000" w:themeColor="text1"/>
          <w:sz w:val="24"/>
          <w:szCs w:val="24"/>
          <w:shd w:val="clear" w:color="auto" w:fill="FFFFFF"/>
        </w:rPr>
        <w:t>, requiring that their ‘</w:t>
      </w:r>
      <w:r w:rsidR="006C6879" w:rsidRPr="00201982">
        <w:rPr>
          <w:rFonts w:ascii="Century Schoolbook" w:hAnsi="Century Schoolbook"/>
          <w:color w:val="000000" w:themeColor="text1"/>
          <w:sz w:val="24"/>
          <w:szCs w:val="24"/>
          <w:shd w:val="clear" w:color="auto" w:fill="FFFFFF"/>
        </w:rPr>
        <w:t xml:space="preserve">annual report and financial statements </w:t>
      </w:r>
      <w:r w:rsidR="001353E6" w:rsidRPr="00201982">
        <w:rPr>
          <w:rFonts w:ascii="Century Schoolbook" w:hAnsi="Century Schoolbook"/>
          <w:color w:val="000000" w:themeColor="text1"/>
          <w:sz w:val="24"/>
          <w:szCs w:val="24"/>
          <w:shd w:val="clear" w:color="auto" w:fill="FFFFFF"/>
        </w:rPr>
        <w:t xml:space="preserve">... </w:t>
      </w:r>
      <w:r w:rsidR="006C6879" w:rsidRPr="00201982">
        <w:rPr>
          <w:rFonts w:ascii="Century Schoolbook" w:hAnsi="Century Schoolbook"/>
          <w:color w:val="000000" w:themeColor="text1"/>
          <w:sz w:val="24"/>
          <w:szCs w:val="24"/>
        </w:rPr>
        <w:t>f</w:t>
      </w:r>
      <w:r w:rsidR="006C6879" w:rsidRPr="00201982">
        <w:rPr>
          <w:rFonts w:ascii="Century Schoolbook" w:hAnsi="Century Schoolbook"/>
          <w:color w:val="000000" w:themeColor="text1"/>
          <w:sz w:val="24"/>
          <w:szCs w:val="24"/>
          <w:shd w:val="clear" w:color="auto" w:fill="FFFFFF"/>
        </w:rPr>
        <w:t>airly present the state of affairs of the public entity, its business, its financial results, its performance against predetermined objectives and its financial position as at the end of the financial year concerned.</w:t>
      </w:r>
      <w:r w:rsidR="001353E6" w:rsidRPr="00201982">
        <w:rPr>
          <w:rFonts w:ascii="Century Schoolbook" w:hAnsi="Century Schoolbook"/>
          <w:color w:val="000000" w:themeColor="text1"/>
          <w:sz w:val="24"/>
          <w:szCs w:val="24"/>
          <w:shd w:val="clear" w:color="auto" w:fill="FFFFFF"/>
        </w:rPr>
        <w:t>’</w:t>
      </w:r>
    </w:p>
    <w:p w:rsidR="006C6879" w:rsidRPr="00201982" w:rsidRDefault="007178E5" w:rsidP="00E634E5">
      <w:pPr>
        <w:pStyle w:val="ListParagraph"/>
        <w:numPr>
          <w:ilvl w:val="0"/>
          <w:numId w:val="1"/>
        </w:numPr>
        <w:tabs>
          <w:tab w:val="left" w:pos="284"/>
          <w:tab w:val="left" w:pos="426"/>
        </w:tabs>
        <w:spacing w:line="360" w:lineRule="auto"/>
        <w:ind w:left="0" w:firstLine="0"/>
        <w:contextualSpacing w:val="0"/>
        <w:rPr>
          <w:rFonts w:ascii="Century Schoolbook" w:hAnsi="Century Schoolbook"/>
          <w:color w:val="000000" w:themeColor="text1"/>
          <w:sz w:val="24"/>
          <w:szCs w:val="24"/>
          <w:shd w:val="clear" w:color="auto" w:fill="FFFFFF"/>
        </w:rPr>
      </w:pPr>
      <w:r>
        <w:rPr>
          <w:rFonts w:ascii="Century Schoolbook" w:hAnsi="Century Schoolbook"/>
          <w:color w:val="000000" w:themeColor="text1"/>
          <w:sz w:val="24"/>
          <w:szCs w:val="24"/>
          <w:shd w:val="clear" w:color="auto" w:fill="FFFFFF"/>
        </w:rPr>
        <w:t>S</w:t>
      </w:r>
      <w:r w:rsidR="006B318C" w:rsidRPr="00201982">
        <w:rPr>
          <w:rFonts w:ascii="Century Schoolbook" w:hAnsi="Century Schoolbook"/>
          <w:color w:val="000000" w:themeColor="text1"/>
          <w:sz w:val="24"/>
          <w:szCs w:val="24"/>
          <w:shd w:val="clear" w:color="auto" w:fill="FFFFFF"/>
        </w:rPr>
        <w:t>ection 83</w:t>
      </w:r>
      <w:r w:rsidR="00E634E5" w:rsidRPr="00201982">
        <w:rPr>
          <w:rFonts w:ascii="Century Schoolbook" w:hAnsi="Century Schoolbook"/>
          <w:color w:val="000000" w:themeColor="text1"/>
          <w:sz w:val="24"/>
          <w:szCs w:val="24"/>
          <w:shd w:val="clear" w:color="auto" w:fill="FFFFFF"/>
        </w:rPr>
        <w:t xml:space="preserve"> </w:t>
      </w:r>
      <w:r w:rsidR="006B318C" w:rsidRPr="00201982">
        <w:rPr>
          <w:rFonts w:ascii="Century Schoolbook" w:hAnsi="Century Schoolbook"/>
          <w:color w:val="000000" w:themeColor="text1"/>
          <w:sz w:val="24"/>
          <w:szCs w:val="24"/>
          <w:shd w:val="clear" w:color="auto" w:fill="FFFFFF"/>
        </w:rPr>
        <w:t>of t</w:t>
      </w:r>
      <w:r w:rsidR="006C6879" w:rsidRPr="00201982">
        <w:rPr>
          <w:rFonts w:ascii="Century Schoolbook" w:hAnsi="Century Schoolbook"/>
          <w:color w:val="000000" w:themeColor="text1"/>
          <w:sz w:val="24"/>
          <w:szCs w:val="24"/>
          <w:shd w:val="clear" w:color="auto" w:fill="FFFFFF"/>
        </w:rPr>
        <w:t xml:space="preserve">he PFMA </w:t>
      </w:r>
      <w:r>
        <w:rPr>
          <w:rFonts w:ascii="Century Schoolbook" w:hAnsi="Century Schoolbook"/>
          <w:color w:val="000000" w:themeColor="text1"/>
          <w:sz w:val="24"/>
          <w:szCs w:val="24"/>
          <w:shd w:val="clear" w:color="auto" w:fill="FFFFFF"/>
        </w:rPr>
        <w:t>(</w:t>
      </w:r>
      <w:r w:rsidRPr="00201982">
        <w:rPr>
          <w:rFonts w:ascii="Century Schoolbook" w:hAnsi="Century Schoolbook"/>
          <w:color w:val="000000" w:themeColor="text1"/>
          <w:sz w:val="24"/>
          <w:szCs w:val="24"/>
          <w:shd w:val="clear" w:color="auto" w:fill="FFFFFF"/>
        </w:rPr>
        <w:t>fully quoted above</w:t>
      </w:r>
      <w:r>
        <w:rPr>
          <w:rFonts w:ascii="Century Schoolbook" w:hAnsi="Century Schoolbook"/>
          <w:color w:val="000000" w:themeColor="text1"/>
          <w:sz w:val="24"/>
          <w:szCs w:val="24"/>
          <w:shd w:val="clear" w:color="auto" w:fill="FFFFFF"/>
        </w:rPr>
        <w:t xml:space="preserve">) </w:t>
      </w:r>
      <w:r w:rsidR="00A778C7" w:rsidRPr="00201982">
        <w:rPr>
          <w:rFonts w:ascii="Century Schoolbook" w:hAnsi="Century Schoolbook"/>
          <w:color w:val="000000" w:themeColor="text1"/>
          <w:sz w:val="24"/>
          <w:szCs w:val="24"/>
          <w:shd w:val="clear" w:color="auto" w:fill="FFFFFF"/>
        </w:rPr>
        <w:t>provide</w:t>
      </w:r>
      <w:r w:rsidR="006C6879" w:rsidRPr="00201982">
        <w:rPr>
          <w:rFonts w:ascii="Century Schoolbook" w:hAnsi="Century Schoolbook"/>
          <w:color w:val="000000" w:themeColor="text1"/>
          <w:sz w:val="24"/>
          <w:szCs w:val="24"/>
          <w:shd w:val="clear" w:color="auto" w:fill="FFFFFF"/>
        </w:rPr>
        <w:t>s</w:t>
      </w:r>
      <w:r w:rsidR="00E634E5" w:rsidRPr="00201982">
        <w:rPr>
          <w:rFonts w:ascii="Century Schoolbook" w:hAnsi="Century Schoolbook"/>
          <w:color w:val="000000" w:themeColor="text1"/>
          <w:sz w:val="24"/>
          <w:szCs w:val="24"/>
          <w:shd w:val="clear" w:color="auto" w:fill="FFFFFF"/>
        </w:rPr>
        <w:t xml:space="preserve"> that ‘</w:t>
      </w:r>
      <w:r w:rsidR="006C6879" w:rsidRPr="00201982">
        <w:rPr>
          <w:rFonts w:ascii="Century Schoolbook" w:hAnsi="Century Schoolbook" w:cs="Times New Roman"/>
          <w:color w:val="000000" w:themeColor="text1"/>
          <w:sz w:val="24"/>
          <w:szCs w:val="24"/>
        </w:rPr>
        <w:t>The accounting authority for a public entity commits an act of financial misconduct if that accounting authority wilfully or negligently</w:t>
      </w:r>
      <w:r w:rsidR="008B3DDD" w:rsidRPr="00201982">
        <w:rPr>
          <w:rFonts w:ascii="Century Schoolbook" w:hAnsi="Century Schoolbook" w:cs="Times New Roman"/>
          <w:color w:val="000000" w:themeColor="text1"/>
          <w:sz w:val="24"/>
          <w:szCs w:val="24"/>
        </w:rPr>
        <w:t xml:space="preserve"> ... </w:t>
      </w:r>
      <w:r w:rsidR="006C6879" w:rsidRPr="00201982">
        <w:rPr>
          <w:rFonts w:ascii="Century Schoolbook" w:hAnsi="Century Schoolbook" w:cs="Times New Roman"/>
          <w:color w:val="000000" w:themeColor="text1"/>
          <w:sz w:val="24"/>
          <w:szCs w:val="24"/>
        </w:rPr>
        <w:t xml:space="preserve">fails to comply with a requirement of section </w:t>
      </w:r>
      <w:r w:rsidR="00E634E5" w:rsidRPr="00201982">
        <w:rPr>
          <w:rFonts w:ascii="Century Schoolbook" w:hAnsi="Century Schoolbook" w:cs="Times New Roman"/>
          <w:color w:val="000000" w:themeColor="text1"/>
          <w:sz w:val="24"/>
          <w:szCs w:val="24"/>
        </w:rPr>
        <w:t xml:space="preserve">... </w:t>
      </w:r>
      <w:r w:rsidR="006C6879" w:rsidRPr="00201982">
        <w:rPr>
          <w:rFonts w:ascii="Century Schoolbook" w:hAnsi="Century Schoolbook" w:cs="Times New Roman"/>
          <w:color w:val="000000" w:themeColor="text1"/>
          <w:sz w:val="24"/>
          <w:szCs w:val="24"/>
        </w:rPr>
        <w:t>55</w:t>
      </w:r>
      <w:r w:rsidR="00E634E5" w:rsidRPr="00201982">
        <w:rPr>
          <w:rFonts w:ascii="Century Schoolbook" w:hAnsi="Century Schoolbook" w:cs="Times New Roman"/>
          <w:color w:val="000000" w:themeColor="text1"/>
          <w:sz w:val="24"/>
          <w:szCs w:val="24"/>
        </w:rPr>
        <w:t>’ for which ‘</w:t>
      </w:r>
      <w:r w:rsidR="006C6879" w:rsidRPr="00201982">
        <w:rPr>
          <w:rFonts w:ascii="Century Schoolbook" w:hAnsi="Century Schoolbook" w:cs="Times New Roman"/>
          <w:color w:val="000000" w:themeColor="text1"/>
          <w:sz w:val="24"/>
          <w:szCs w:val="24"/>
        </w:rPr>
        <w:t xml:space="preserve">every </w:t>
      </w:r>
      <w:r w:rsidR="008F7BD8">
        <w:rPr>
          <w:rFonts w:ascii="Century Schoolbook" w:hAnsi="Century Schoolbook" w:cs="Times New Roman"/>
          <w:color w:val="000000" w:themeColor="text1"/>
          <w:sz w:val="24"/>
          <w:szCs w:val="24"/>
        </w:rPr>
        <w:t xml:space="preserve">[‘board’] </w:t>
      </w:r>
      <w:r w:rsidR="006C6879" w:rsidRPr="00201982">
        <w:rPr>
          <w:rFonts w:ascii="Century Schoolbook" w:hAnsi="Century Schoolbook" w:cs="Times New Roman"/>
          <w:color w:val="000000" w:themeColor="text1"/>
          <w:sz w:val="24"/>
          <w:szCs w:val="24"/>
        </w:rPr>
        <w:t>member is individually and severally liable</w:t>
      </w:r>
      <w:r w:rsidR="00054589">
        <w:rPr>
          <w:rStyle w:val="FootnoteReference"/>
          <w:rFonts w:ascii="Century Schoolbook" w:hAnsi="Century Schoolbook" w:cs="Times New Roman"/>
          <w:color w:val="000000" w:themeColor="text1"/>
          <w:sz w:val="24"/>
          <w:szCs w:val="24"/>
        </w:rPr>
        <w:footnoteReference w:id="170"/>
      </w:r>
      <w:r w:rsidR="00E634E5" w:rsidRPr="00201982">
        <w:rPr>
          <w:rFonts w:ascii="Century Schoolbook" w:hAnsi="Century Schoolbook" w:cs="Times New Roman"/>
          <w:color w:val="000000" w:themeColor="text1"/>
          <w:sz w:val="24"/>
          <w:szCs w:val="24"/>
        </w:rPr>
        <w:t xml:space="preserve"> ... </w:t>
      </w:r>
      <w:r w:rsidR="006C6879" w:rsidRPr="00201982">
        <w:rPr>
          <w:rFonts w:ascii="Century Schoolbook" w:hAnsi="Century Schoolbook" w:cs="Times New Roman"/>
          <w:color w:val="000000" w:themeColor="text1"/>
          <w:sz w:val="24"/>
          <w:szCs w:val="24"/>
        </w:rPr>
        <w:t>An official of a public entity to whom a power or duty is assigned in terms of section 56 commits an act of financial misconduct if that official wilfully or negligently fails to exercise that power or perform that duty.</w:t>
      </w:r>
      <w:r w:rsidR="00E634E5" w:rsidRPr="00201982">
        <w:rPr>
          <w:rFonts w:ascii="Century Schoolbook" w:hAnsi="Century Schoolbook" w:cs="Times New Roman"/>
          <w:color w:val="000000" w:themeColor="text1"/>
          <w:sz w:val="24"/>
          <w:szCs w:val="24"/>
        </w:rPr>
        <w:t xml:space="preserve"> ... </w:t>
      </w:r>
      <w:r w:rsidR="006C6879" w:rsidRPr="00201982">
        <w:rPr>
          <w:rFonts w:ascii="Century Schoolbook" w:hAnsi="Century Schoolbook" w:cs="Times New Roman"/>
          <w:color w:val="000000" w:themeColor="text1"/>
          <w:sz w:val="24"/>
          <w:szCs w:val="24"/>
        </w:rPr>
        <w:t>Financial misconduct is a ground for dismissal or suspension</w:t>
      </w:r>
      <w:r w:rsidR="00E634E5" w:rsidRPr="00201982">
        <w:rPr>
          <w:rFonts w:ascii="Century Schoolbook" w:hAnsi="Century Schoolbook" w:cs="Times New Roman"/>
          <w:color w:val="000000" w:themeColor="text1"/>
          <w:sz w:val="24"/>
          <w:szCs w:val="24"/>
        </w:rPr>
        <w:t>’.</w:t>
      </w:r>
    </w:p>
    <w:p w:rsidR="002E3F2E" w:rsidRPr="00201982" w:rsidRDefault="008B3DDD" w:rsidP="00390014">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olor w:val="000000" w:themeColor="text1"/>
          <w:sz w:val="24"/>
          <w:szCs w:val="24"/>
          <w:shd w:val="clear" w:color="auto" w:fill="FFFFFF"/>
        </w:rPr>
      </w:pPr>
      <w:r w:rsidRPr="00201982">
        <w:rPr>
          <w:rFonts w:ascii="Century Schoolbook" w:hAnsi="Century Schoolbook" w:cs="Times New Roman"/>
          <w:color w:val="000000" w:themeColor="text1"/>
          <w:sz w:val="24"/>
          <w:szCs w:val="24"/>
        </w:rPr>
        <w:lastRenderedPageBreak/>
        <w:t>Having since retired from LASA, Mlambo JP and Vedalankar can’t be dismissed or suspended</w:t>
      </w:r>
      <w:r w:rsidR="004E6581">
        <w:rPr>
          <w:rFonts w:ascii="Century Schoolbook" w:hAnsi="Century Schoolbook" w:cs="Times New Roman"/>
          <w:color w:val="000000" w:themeColor="text1"/>
          <w:sz w:val="24"/>
          <w:szCs w:val="24"/>
        </w:rPr>
        <w:t xml:space="preserve"> under section 83</w:t>
      </w:r>
      <w:r w:rsidRPr="00201982">
        <w:rPr>
          <w:rFonts w:ascii="Century Schoolbook" w:hAnsi="Century Schoolbook" w:cs="Times New Roman"/>
          <w:color w:val="000000" w:themeColor="text1"/>
          <w:sz w:val="24"/>
          <w:szCs w:val="24"/>
        </w:rPr>
        <w:t>,</w:t>
      </w:r>
      <w:r w:rsidR="007178E5">
        <w:rPr>
          <w:rStyle w:val="FootnoteReference"/>
          <w:rFonts w:ascii="Century Schoolbook" w:hAnsi="Century Schoolbook" w:cs="Times New Roman"/>
          <w:color w:val="000000" w:themeColor="text1"/>
          <w:sz w:val="24"/>
          <w:szCs w:val="24"/>
        </w:rPr>
        <w:footnoteReference w:id="171"/>
      </w:r>
      <w:r w:rsidRPr="00201982">
        <w:rPr>
          <w:rFonts w:ascii="Century Schoolbook" w:hAnsi="Century Schoolbook" w:cs="Times New Roman"/>
          <w:color w:val="000000" w:themeColor="text1"/>
          <w:sz w:val="24"/>
          <w:szCs w:val="24"/>
        </w:rPr>
        <w:t xml:space="preserve"> but they </w:t>
      </w:r>
      <w:r w:rsidR="00054589">
        <w:rPr>
          <w:rFonts w:ascii="Century Schoolbook" w:hAnsi="Century Schoolbook" w:cs="Times New Roman"/>
          <w:color w:val="000000" w:themeColor="text1"/>
          <w:sz w:val="24"/>
          <w:szCs w:val="24"/>
        </w:rPr>
        <w:t xml:space="preserve">remain </w:t>
      </w:r>
      <w:r w:rsidR="005D4C93">
        <w:rPr>
          <w:rFonts w:ascii="Century Schoolbook" w:hAnsi="Century Schoolbook" w:cs="Times New Roman"/>
          <w:color w:val="000000" w:themeColor="text1"/>
          <w:sz w:val="24"/>
          <w:szCs w:val="24"/>
        </w:rPr>
        <w:t>exposed t</w:t>
      </w:r>
      <w:r w:rsidR="00054589">
        <w:rPr>
          <w:rFonts w:ascii="Century Schoolbook" w:hAnsi="Century Schoolbook" w:cs="Times New Roman"/>
          <w:color w:val="000000" w:themeColor="text1"/>
          <w:sz w:val="24"/>
          <w:szCs w:val="24"/>
        </w:rPr>
        <w:t>o</w:t>
      </w:r>
      <w:r w:rsidRPr="00201982">
        <w:rPr>
          <w:rFonts w:ascii="Century Schoolbook" w:hAnsi="Century Schoolbook" w:cs="Times New Roman"/>
          <w:color w:val="000000" w:themeColor="text1"/>
          <w:sz w:val="24"/>
          <w:szCs w:val="24"/>
        </w:rPr>
        <w:t xml:space="preserve"> </w:t>
      </w:r>
      <w:r w:rsidR="001353E6" w:rsidRPr="00201982">
        <w:rPr>
          <w:rFonts w:ascii="Century Schoolbook" w:hAnsi="Century Schoolbook" w:cs="Times New Roman"/>
          <w:color w:val="000000" w:themeColor="text1"/>
          <w:sz w:val="24"/>
          <w:szCs w:val="24"/>
        </w:rPr>
        <w:t xml:space="preserve">criminal </w:t>
      </w:r>
      <w:r w:rsidRPr="00201982">
        <w:rPr>
          <w:rFonts w:ascii="Century Schoolbook" w:hAnsi="Century Schoolbook" w:cs="Times New Roman"/>
          <w:color w:val="000000" w:themeColor="text1"/>
          <w:sz w:val="24"/>
          <w:szCs w:val="24"/>
        </w:rPr>
        <w:t>prosecut</w:t>
      </w:r>
      <w:r w:rsidR="005D4C93">
        <w:rPr>
          <w:rFonts w:ascii="Century Schoolbook" w:hAnsi="Century Schoolbook" w:cs="Times New Roman"/>
          <w:color w:val="000000" w:themeColor="text1"/>
          <w:sz w:val="24"/>
          <w:szCs w:val="24"/>
        </w:rPr>
        <w:t>ion</w:t>
      </w:r>
      <w:r w:rsidR="00B61353">
        <w:rPr>
          <w:rFonts w:ascii="Century Schoolbook" w:hAnsi="Century Schoolbook" w:cs="Times New Roman"/>
          <w:color w:val="000000" w:themeColor="text1"/>
          <w:sz w:val="24"/>
          <w:szCs w:val="24"/>
        </w:rPr>
        <w:t xml:space="preserve"> under</w:t>
      </w:r>
      <w:r w:rsidR="00B61353" w:rsidRPr="00B61353">
        <w:rPr>
          <w:rFonts w:ascii="Century Schoolbook" w:hAnsi="Century Schoolbook" w:cs="Times New Roman"/>
          <w:color w:val="000000" w:themeColor="text1"/>
          <w:sz w:val="24"/>
          <w:szCs w:val="24"/>
        </w:rPr>
        <w:t xml:space="preserve"> </w:t>
      </w:r>
      <w:r w:rsidR="00B61353" w:rsidRPr="00201982">
        <w:rPr>
          <w:rFonts w:ascii="Century Schoolbook" w:hAnsi="Century Schoolbook" w:cs="Times New Roman"/>
          <w:color w:val="000000" w:themeColor="text1"/>
          <w:sz w:val="24"/>
          <w:szCs w:val="24"/>
        </w:rPr>
        <w:t>section 86 of the PFMA</w:t>
      </w:r>
      <w:r w:rsidR="00B61353">
        <w:rPr>
          <w:rFonts w:ascii="Century Schoolbook" w:hAnsi="Century Schoolbook" w:cs="Times New Roman"/>
          <w:color w:val="000000" w:themeColor="text1"/>
          <w:sz w:val="24"/>
          <w:szCs w:val="24"/>
        </w:rPr>
        <w:t>, ‘</w:t>
      </w:r>
      <w:r w:rsidR="00B61353" w:rsidRPr="00201982">
        <w:rPr>
          <w:rFonts w:ascii="Century Schoolbook" w:hAnsi="Century Schoolbook" w:cs="Times New Roman"/>
          <w:color w:val="000000" w:themeColor="text1"/>
          <w:sz w:val="24"/>
          <w:szCs w:val="24"/>
        </w:rPr>
        <w:t>Offences and penalties’</w:t>
      </w:r>
      <w:r w:rsidR="005D4C93">
        <w:rPr>
          <w:rFonts w:ascii="Century Schoolbook" w:hAnsi="Century Schoolbook" w:cs="Times New Roman"/>
          <w:color w:val="000000" w:themeColor="text1"/>
          <w:sz w:val="24"/>
          <w:szCs w:val="24"/>
        </w:rPr>
        <w:t>, s</w:t>
      </w:r>
      <w:r w:rsidR="002E3F2E" w:rsidRPr="00201982">
        <w:rPr>
          <w:rFonts w:ascii="Century Schoolbook" w:hAnsi="Century Schoolbook" w:cs="Times New Roman"/>
          <w:color w:val="000000" w:themeColor="text1"/>
          <w:sz w:val="24"/>
          <w:szCs w:val="24"/>
        </w:rPr>
        <w:t>ubsection</w:t>
      </w:r>
      <w:r w:rsidR="00E93CF4">
        <w:rPr>
          <w:rFonts w:ascii="Century Schoolbook" w:hAnsi="Century Schoolbook" w:cs="Times New Roman"/>
          <w:color w:val="000000" w:themeColor="text1"/>
          <w:sz w:val="24"/>
          <w:szCs w:val="24"/>
        </w:rPr>
        <w:t xml:space="preserve"> </w:t>
      </w:r>
      <w:r w:rsidR="002E3F2E" w:rsidRPr="00201982">
        <w:rPr>
          <w:rFonts w:ascii="Century Schoolbook" w:hAnsi="Century Schoolbook" w:cs="Times New Roman"/>
          <w:color w:val="000000" w:themeColor="text1"/>
          <w:sz w:val="24"/>
          <w:szCs w:val="24"/>
        </w:rPr>
        <w:t>(2)</w:t>
      </w:r>
      <w:r w:rsidR="005D4C93">
        <w:rPr>
          <w:rFonts w:ascii="Century Schoolbook" w:hAnsi="Century Schoolbook" w:cs="Times New Roman"/>
          <w:color w:val="000000" w:themeColor="text1"/>
          <w:sz w:val="24"/>
          <w:szCs w:val="24"/>
        </w:rPr>
        <w:t xml:space="preserve"> of which</w:t>
      </w:r>
      <w:r w:rsidR="00B61353" w:rsidRPr="00B61353">
        <w:rPr>
          <w:rFonts w:ascii="Century Schoolbook" w:hAnsi="Century Schoolbook" w:cs="Times New Roman"/>
          <w:color w:val="000000" w:themeColor="text1"/>
          <w:sz w:val="24"/>
          <w:szCs w:val="24"/>
        </w:rPr>
        <w:t xml:space="preserve"> </w:t>
      </w:r>
      <w:r w:rsidR="00B61353" w:rsidRPr="00201982">
        <w:rPr>
          <w:rFonts w:ascii="Century Schoolbook" w:hAnsi="Century Schoolbook" w:cs="Times New Roman"/>
          <w:color w:val="000000" w:themeColor="text1"/>
          <w:sz w:val="24"/>
          <w:szCs w:val="24"/>
        </w:rPr>
        <w:t>provides</w:t>
      </w:r>
      <w:r w:rsidR="002E3F2E" w:rsidRPr="00201982">
        <w:rPr>
          <w:rFonts w:ascii="Century Schoolbook" w:hAnsi="Century Schoolbook" w:cs="Times New Roman"/>
          <w:color w:val="000000" w:themeColor="text1"/>
          <w:sz w:val="24"/>
          <w:szCs w:val="24"/>
        </w:rPr>
        <w:t>:</w:t>
      </w:r>
    </w:p>
    <w:p w:rsidR="002E3F2E" w:rsidRPr="00201982" w:rsidRDefault="002E3F2E" w:rsidP="002E3F2E">
      <w:pPr>
        <w:pStyle w:val="ListParagraph"/>
        <w:autoSpaceDE w:val="0"/>
        <w:autoSpaceDN w:val="0"/>
        <w:adjustRightInd w:val="0"/>
        <w:spacing w:line="360" w:lineRule="auto"/>
        <w:contextualSpacing w:val="0"/>
        <w:rPr>
          <w:rFonts w:ascii="Century Schoolbook" w:hAnsi="Century Schoolbook" w:cs="Times New Roman"/>
          <w:color w:val="000000" w:themeColor="text1"/>
          <w:sz w:val="24"/>
          <w:szCs w:val="24"/>
        </w:rPr>
      </w:pPr>
      <w:r w:rsidRPr="00201982">
        <w:rPr>
          <w:rFonts w:ascii="Century Schoolbook" w:hAnsi="Century Schoolbook" w:cs="Times New Roman"/>
          <w:color w:val="000000" w:themeColor="text1"/>
          <w:sz w:val="24"/>
          <w:szCs w:val="24"/>
        </w:rPr>
        <w:t xml:space="preserve">An accounting authority is guilty of an offence and liable on conviction to a fine, or to imprisonment for a period not exceeding five years, if that accounting authority wilfully or in a grossly negligent way fails to comply with a provision of section </w:t>
      </w:r>
      <w:r w:rsidR="00921CE6" w:rsidRPr="00201982">
        <w:rPr>
          <w:rFonts w:ascii="Century Schoolbook" w:hAnsi="Century Schoolbook" w:cs="Times New Roman"/>
          <w:color w:val="000000" w:themeColor="text1"/>
          <w:sz w:val="24"/>
          <w:szCs w:val="24"/>
        </w:rPr>
        <w:t>...</w:t>
      </w:r>
      <w:r w:rsidRPr="00201982">
        <w:rPr>
          <w:rFonts w:ascii="Century Schoolbook" w:hAnsi="Century Schoolbook" w:cs="Times New Roman"/>
          <w:color w:val="000000" w:themeColor="text1"/>
          <w:sz w:val="24"/>
          <w:szCs w:val="24"/>
        </w:rPr>
        <w:t xml:space="preserve"> 55.</w:t>
      </w:r>
    </w:p>
    <w:p w:rsidR="007A1E01" w:rsidRPr="003A220E" w:rsidRDefault="00C57E69" w:rsidP="00390014">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In sum, b</w:t>
      </w:r>
      <w:r w:rsidR="006B318C">
        <w:rPr>
          <w:rFonts w:ascii="Century Schoolbook" w:hAnsi="Century Schoolbook" w:cs="Times New Roman"/>
          <w:sz w:val="24"/>
          <w:szCs w:val="24"/>
        </w:rPr>
        <w:t xml:space="preserve">y </w:t>
      </w:r>
      <w:r w:rsidR="007A1E01">
        <w:rPr>
          <w:rFonts w:ascii="Century Schoolbook" w:hAnsi="Century Schoolbook" w:cs="Times New Roman"/>
          <w:sz w:val="24"/>
          <w:szCs w:val="24"/>
        </w:rPr>
        <w:t>dishonestly</w:t>
      </w:r>
      <w:r w:rsidR="006B318C">
        <w:rPr>
          <w:rFonts w:ascii="Century Schoolbook" w:hAnsi="Century Schoolbook" w:cs="Times New Roman"/>
          <w:sz w:val="24"/>
          <w:szCs w:val="24"/>
        </w:rPr>
        <w:t xml:space="preserve"> </w:t>
      </w:r>
      <w:r w:rsidR="007A1E01">
        <w:rPr>
          <w:rFonts w:ascii="Century Schoolbook" w:hAnsi="Century Schoolbook" w:cs="Times New Roman"/>
          <w:sz w:val="24"/>
          <w:szCs w:val="24"/>
        </w:rPr>
        <w:t>mis</w:t>
      </w:r>
      <w:r w:rsidR="006B318C">
        <w:rPr>
          <w:rFonts w:ascii="Century Schoolbook" w:hAnsi="Century Schoolbook" w:cs="Times New Roman"/>
          <w:sz w:val="24"/>
          <w:szCs w:val="24"/>
        </w:rPr>
        <w:t xml:space="preserve">representing </w:t>
      </w:r>
      <w:r w:rsidR="007A1E01">
        <w:rPr>
          <w:rFonts w:ascii="Century Schoolbook" w:hAnsi="Century Schoolbook" w:cs="Times New Roman"/>
          <w:sz w:val="24"/>
          <w:szCs w:val="24"/>
        </w:rPr>
        <w:t>‘</w:t>
      </w:r>
      <w:r w:rsidR="007A1E01" w:rsidRPr="006C6879">
        <w:rPr>
          <w:rFonts w:ascii="Century Schoolbook" w:hAnsi="Century Schoolbook"/>
          <w:color w:val="222222"/>
          <w:sz w:val="24"/>
          <w:szCs w:val="24"/>
          <w:shd w:val="clear" w:color="auto" w:fill="FFFFFF"/>
        </w:rPr>
        <w:t xml:space="preserve">the state of affairs of </w:t>
      </w:r>
      <w:r w:rsidR="007A1E01">
        <w:rPr>
          <w:rFonts w:ascii="Century Schoolbook" w:hAnsi="Century Schoolbook"/>
          <w:color w:val="222222"/>
          <w:sz w:val="24"/>
          <w:szCs w:val="24"/>
          <w:shd w:val="clear" w:color="auto" w:fill="FFFFFF"/>
        </w:rPr>
        <w:t>[LASA]</w:t>
      </w:r>
      <w:r w:rsidR="007A1E01" w:rsidRPr="006C6879">
        <w:rPr>
          <w:rFonts w:ascii="Century Schoolbook" w:hAnsi="Century Schoolbook"/>
          <w:color w:val="222222"/>
          <w:sz w:val="24"/>
          <w:szCs w:val="24"/>
          <w:shd w:val="clear" w:color="auto" w:fill="FFFFFF"/>
        </w:rPr>
        <w:t xml:space="preserve">, its business, its financial results, its performance against predetermined objectives </w:t>
      </w:r>
      <w:r w:rsidR="00DB1C0A">
        <w:rPr>
          <w:rFonts w:ascii="Century Schoolbook" w:hAnsi="Century Schoolbook"/>
          <w:color w:val="222222"/>
          <w:sz w:val="24"/>
          <w:szCs w:val="24"/>
          <w:shd w:val="clear" w:color="auto" w:fill="FFFFFF"/>
        </w:rPr>
        <w:t xml:space="preserve">[set out in its Strategic Plan 2009–12] </w:t>
      </w:r>
      <w:r w:rsidR="007A1E01" w:rsidRPr="006C6879">
        <w:rPr>
          <w:rFonts w:ascii="Century Schoolbook" w:hAnsi="Century Schoolbook"/>
          <w:color w:val="222222"/>
          <w:sz w:val="24"/>
          <w:szCs w:val="24"/>
          <w:shd w:val="clear" w:color="auto" w:fill="FFFFFF"/>
        </w:rPr>
        <w:t>and its financial position as at the end of the financial year concerned</w:t>
      </w:r>
      <w:r w:rsidR="007A1E01">
        <w:rPr>
          <w:rFonts w:ascii="Century Schoolbook" w:hAnsi="Century Schoolbook"/>
          <w:color w:val="222222"/>
          <w:sz w:val="24"/>
          <w:szCs w:val="24"/>
          <w:shd w:val="clear" w:color="auto" w:fill="FFFFFF"/>
        </w:rPr>
        <w:t>’ in LASA’s ‘</w:t>
      </w:r>
      <w:r w:rsidR="007A1E01" w:rsidRPr="006C6879">
        <w:rPr>
          <w:rFonts w:ascii="Century Schoolbook" w:hAnsi="Century Schoolbook"/>
          <w:color w:val="222222"/>
          <w:sz w:val="24"/>
          <w:szCs w:val="24"/>
          <w:shd w:val="clear" w:color="auto" w:fill="FFFFFF"/>
        </w:rPr>
        <w:t>annual report and financial statements</w:t>
      </w:r>
      <w:r w:rsidR="007A1E01">
        <w:rPr>
          <w:rFonts w:ascii="Century Schoolbook" w:hAnsi="Century Schoolbook"/>
          <w:color w:val="222222"/>
          <w:sz w:val="24"/>
          <w:szCs w:val="24"/>
          <w:shd w:val="clear" w:color="auto" w:fill="FFFFFF"/>
        </w:rPr>
        <w:t>’</w:t>
      </w:r>
      <w:r>
        <w:rPr>
          <w:rFonts w:ascii="Century Schoolbook" w:hAnsi="Century Schoolbook"/>
          <w:color w:val="222222"/>
          <w:sz w:val="24"/>
          <w:szCs w:val="24"/>
          <w:shd w:val="clear" w:color="auto" w:fill="FFFFFF"/>
        </w:rPr>
        <w:t xml:space="preserve"> for 2011/12</w:t>
      </w:r>
      <w:r w:rsidR="007A1E01">
        <w:rPr>
          <w:rFonts w:ascii="Century Schoolbook" w:hAnsi="Century Schoolbook"/>
          <w:color w:val="222222"/>
          <w:sz w:val="24"/>
          <w:szCs w:val="24"/>
          <w:shd w:val="clear" w:color="auto" w:fill="FFFFFF"/>
        </w:rPr>
        <w:t xml:space="preserve">, </w:t>
      </w:r>
      <w:r>
        <w:rPr>
          <w:rFonts w:ascii="Century Schoolbook" w:hAnsi="Century Schoolbook"/>
          <w:color w:val="222222"/>
          <w:sz w:val="24"/>
          <w:szCs w:val="24"/>
          <w:shd w:val="clear" w:color="auto" w:fill="FFFFFF"/>
        </w:rPr>
        <w:t xml:space="preserve">so as to </w:t>
      </w:r>
      <w:r w:rsidR="003A220E">
        <w:rPr>
          <w:rFonts w:ascii="Century Schoolbook" w:hAnsi="Century Schoolbook"/>
          <w:color w:val="222222"/>
          <w:sz w:val="24"/>
          <w:szCs w:val="24"/>
          <w:shd w:val="clear" w:color="auto" w:fill="FFFFFF"/>
        </w:rPr>
        <w:t xml:space="preserve">mislead </w:t>
      </w:r>
      <w:r w:rsidR="00287C59">
        <w:rPr>
          <w:rFonts w:ascii="Century Schoolbook" w:hAnsi="Century Schoolbook"/>
          <w:color w:val="222222"/>
          <w:sz w:val="24"/>
          <w:szCs w:val="24"/>
          <w:shd w:val="clear" w:color="auto" w:fill="FFFFFF"/>
        </w:rPr>
        <w:t xml:space="preserve">and defraud </w:t>
      </w:r>
      <w:r w:rsidR="00B61353">
        <w:rPr>
          <w:rFonts w:ascii="Century Schoolbook" w:hAnsi="Century Schoolbook"/>
          <w:color w:val="222222"/>
          <w:sz w:val="24"/>
          <w:szCs w:val="24"/>
          <w:shd w:val="clear" w:color="auto" w:fill="FFFFFF"/>
        </w:rPr>
        <w:t>LASA’s constitutional oversight authority</w:t>
      </w:r>
      <w:r w:rsidR="004E6581">
        <w:rPr>
          <w:rFonts w:ascii="Century Schoolbook" w:hAnsi="Century Schoolbook"/>
          <w:color w:val="222222"/>
          <w:sz w:val="24"/>
          <w:szCs w:val="24"/>
          <w:shd w:val="clear" w:color="auto" w:fill="FFFFFF"/>
        </w:rPr>
        <w:t>,</w:t>
      </w:r>
      <w:r w:rsidR="00B61353">
        <w:rPr>
          <w:rFonts w:ascii="Century Schoolbook" w:hAnsi="Century Schoolbook"/>
          <w:color w:val="222222"/>
          <w:sz w:val="24"/>
          <w:szCs w:val="24"/>
          <w:shd w:val="clear" w:color="auto" w:fill="FFFFFF"/>
        </w:rPr>
        <w:t xml:space="preserve"> the </w:t>
      </w:r>
      <w:r w:rsidR="004E6581">
        <w:rPr>
          <w:rFonts w:ascii="Century Schoolbook" w:hAnsi="Century Schoolbook"/>
          <w:color w:val="222222"/>
          <w:sz w:val="24"/>
          <w:szCs w:val="24"/>
          <w:shd w:val="clear" w:color="auto" w:fill="FFFFFF"/>
        </w:rPr>
        <w:t xml:space="preserve">Justice Portfolio of the </w:t>
      </w:r>
      <w:r w:rsidR="003A220E">
        <w:rPr>
          <w:rFonts w:ascii="Century Schoolbook" w:hAnsi="Century Schoolbook"/>
          <w:color w:val="222222"/>
          <w:sz w:val="24"/>
          <w:szCs w:val="24"/>
          <w:shd w:val="clear" w:color="auto" w:fill="FFFFFF"/>
        </w:rPr>
        <w:t>National Assembly</w:t>
      </w:r>
      <w:r w:rsidR="004E6581">
        <w:rPr>
          <w:rFonts w:ascii="Century Schoolbook" w:hAnsi="Century Schoolbook"/>
          <w:color w:val="222222"/>
          <w:sz w:val="24"/>
          <w:szCs w:val="24"/>
          <w:shd w:val="clear" w:color="auto" w:fill="FFFFFF"/>
        </w:rPr>
        <w:t>,</w:t>
      </w:r>
      <w:r w:rsidR="003A220E">
        <w:rPr>
          <w:rFonts w:ascii="Century Schoolbook" w:hAnsi="Century Schoolbook"/>
          <w:color w:val="222222"/>
          <w:sz w:val="24"/>
          <w:szCs w:val="24"/>
          <w:shd w:val="clear" w:color="auto" w:fill="FFFFFF"/>
        </w:rPr>
        <w:t xml:space="preserve"> </w:t>
      </w:r>
      <w:r w:rsidR="00997381">
        <w:rPr>
          <w:rFonts w:ascii="Century Schoolbook" w:hAnsi="Century Schoolbook"/>
          <w:color w:val="222222"/>
          <w:sz w:val="24"/>
          <w:szCs w:val="24"/>
          <w:shd w:val="clear" w:color="auto" w:fill="FFFFFF"/>
        </w:rPr>
        <w:t xml:space="preserve">and induce it </w:t>
      </w:r>
      <w:r w:rsidR="003A220E">
        <w:rPr>
          <w:rFonts w:ascii="Century Schoolbook" w:hAnsi="Century Schoolbook"/>
          <w:color w:val="222222"/>
          <w:sz w:val="24"/>
          <w:szCs w:val="24"/>
          <w:shd w:val="clear" w:color="auto" w:fill="FFFFFF"/>
        </w:rPr>
        <w:t>to believe</w:t>
      </w:r>
      <w:r w:rsidR="00B61353" w:rsidRPr="00B61353">
        <w:rPr>
          <w:rFonts w:ascii="Century Schoolbook" w:hAnsi="Century Schoolbook"/>
          <w:color w:val="222222"/>
          <w:sz w:val="24"/>
          <w:szCs w:val="24"/>
          <w:shd w:val="clear" w:color="auto" w:fill="FFFFFF"/>
        </w:rPr>
        <w:t xml:space="preserve"> </w:t>
      </w:r>
      <w:r w:rsidR="00B61353">
        <w:rPr>
          <w:rFonts w:ascii="Century Schoolbook" w:hAnsi="Century Schoolbook"/>
          <w:color w:val="222222"/>
          <w:sz w:val="24"/>
          <w:szCs w:val="24"/>
          <w:shd w:val="clear" w:color="auto" w:fill="FFFFFF"/>
        </w:rPr>
        <w:t>wrongly</w:t>
      </w:r>
      <w:r w:rsidR="003A220E">
        <w:rPr>
          <w:rFonts w:ascii="Century Schoolbook" w:hAnsi="Century Schoolbook"/>
          <w:color w:val="222222"/>
          <w:sz w:val="24"/>
          <w:szCs w:val="24"/>
          <w:shd w:val="clear" w:color="auto" w:fill="FFFFFF"/>
        </w:rPr>
        <w:t xml:space="preserve"> that </w:t>
      </w:r>
      <w:r w:rsidR="007304F8">
        <w:rPr>
          <w:rFonts w:ascii="Century Schoolbook" w:hAnsi="Century Schoolbook"/>
          <w:color w:val="222222"/>
          <w:sz w:val="24"/>
          <w:szCs w:val="24"/>
          <w:shd w:val="clear" w:color="auto" w:fill="FFFFFF"/>
        </w:rPr>
        <w:t xml:space="preserve">(i) </w:t>
      </w:r>
      <w:r w:rsidR="003A220E">
        <w:rPr>
          <w:rFonts w:ascii="Century Schoolbook" w:hAnsi="Century Schoolbook"/>
          <w:color w:val="222222"/>
          <w:sz w:val="24"/>
          <w:szCs w:val="24"/>
          <w:shd w:val="clear" w:color="auto" w:fill="FFFFFF"/>
        </w:rPr>
        <w:t>LASA</w:t>
      </w:r>
      <w:r>
        <w:rPr>
          <w:rFonts w:ascii="Century Schoolbook" w:hAnsi="Century Schoolbook"/>
          <w:color w:val="222222"/>
          <w:sz w:val="24"/>
          <w:szCs w:val="24"/>
          <w:shd w:val="clear" w:color="auto" w:fill="FFFFFF"/>
        </w:rPr>
        <w:t>’s</w:t>
      </w:r>
      <w:r w:rsidR="003A220E">
        <w:rPr>
          <w:rFonts w:ascii="Century Schoolbook" w:hAnsi="Century Schoolbook"/>
          <w:color w:val="222222"/>
          <w:sz w:val="24"/>
          <w:szCs w:val="24"/>
          <w:shd w:val="clear" w:color="auto" w:fill="FFFFFF"/>
        </w:rPr>
        <w:t xml:space="preserve"> Strategic Plan 2009–12 regard</w:t>
      </w:r>
      <w:r w:rsidR="008B3DDD">
        <w:rPr>
          <w:rFonts w:ascii="Century Schoolbook" w:hAnsi="Century Schoolbook"/>
          <w:color w:val="222222"/>
          <w:sz w:val="24"/>
          <w:szCs w:val="24"/>
          <w:shd w:val="clear" w:color="auto" w:fill="FFFFFF"/>
        </w:rPr>
        <w:t>ing</w:t>
      </w:r>
      <w:r w:rsidR="003A220E">
        <w:rPr>
          <w:rFonts w:ascii="Century Schoolbook" w:hAnsi="Century Schoolbook"/>
          <w:color w:val="222222"/>
          <w:sz w:val="24"/>
          <w:szCs w:val="24"/>
          <w:shd w:val="clear" w:color="auto" w:fill="FFFFFF"/>
        </w:rPr>
        <w:t xml:space="preserve"> the employment of Senior Litigators </w:t>
      </w:r>
      <w:r>
        <w:rPr>
          <w:rFonts w:ascii="Century Schoolbook" w:hAnsi="Century Schoolbook"/>
          <w:color w:val="222222"/>
          <w:sz w:val="24"/>
          <w:szCs w:val="24"/>
          <w:shd w:val="clear" w:color="auto" w:fill="FFFFFF"/>
        </w:rPr>
        <w:t xml:space="preserve">had been implemented </w:t>
      </w:r>
      <w:r w:rsidR="003A220E">
        <w:rPr>
          <w:rFonts w:ascii="Century Schoolbook" w:hAnsi="Century Schoolbook"/>
          <w:color w:val="222222"/>
          <w:sz w:val="24"/>
          <w:szCs w:val="24"/>
          <w:shd w:val="clear" w:color="auto" w:fill="FFFFFF"/>
        </w:rPr>
        <w:t xml:space="preserve">and that such specialist legal service delivery </w:t>
      </w:r>
      <w:r w:rsidR="008116FF">
        <w:rPr>
          <w:rFonts w:ascii="Century Schoolbook" w:hAnsi="Century Schoolbook"/>
          <w:color w:val="222222"/>
          <w:sz w:val="24"/>
          <w:szCs w:val="24"/>
          <w:shd w:val="clear" w:color="auto" w:fill="FFFFFF"/>
        </w:rPr>
        <w:t xml:space="preserve">capacity </w:t>
      </w:r>
      <w:r w:rsidR="00B61353">
        <w:rPr>
          <w:rFonts w:ascii="Century Schoolbook" w:hAnsi="Century Schoolbook"/>
          <w:color w:val="222222"/>
          <w:sz w:val="24"/>
          <w:szCs w:val="24"/>
          <w:shd w:val="clear" w:color="auto" w:fill="FFFFFF"/>
        </w:rPr>
        <w:t xml:space="preserve">was </w:t>
      </w:r>
      <w:r w:rsidR="004E6581">
        <w:rPr>
          <w:rFonts w:ascii="Century Schoolbook" w:hAnsi="Century Schoolbook"/>
          <w:color w:val="222222"/>
          <w:sz w:val="24"/>
          <w:szCs w:val="24"/>
          <w:shd w:val="clear" w:color="auto" w:fill="FFFFFF"/>
        </w:rPr>
        <w:t xml:space="preserve">now </w:t>
      </w:r>
      <w:r w:rsidR="00B61353">
        <w:rPr>
          <w:rFonts w:ascii="Century Schoolbook" w:hAnsi="Century Schoolbook"/>
          <w:color w:val="222222"/>
          <w:sz w:val="24"/>
          <w:szCs w:val="24"/>
          <w:shd w:val="clear" w:color="auto" w:fill="FFFFFF"/>
        </w:rPr>
        <w:t>in place</w:t>
      </w:r>
      <w:r w:rsidR="007304F8">
        <w:rPr>
          <w:rFonts w:ascii="Century Schoolbook" w:hAnsi="Century Schoolbook"/>
          <w:color w:val="222222"/>
          <w:sz w:val="24"/>
          <w:szCs w:val="24"/>
          <w:shd w:val="clear" w:color="auto" w:fill="FFFFFF"/>
        </w:rPr>
        <w:t xml:space="preserve">, (ii) LASA had filled its vacant posts, especially its critical posts, and (iii) LASA was applying its Senior Litigator budget to the employment of Senior Litigators, </w:t>
      </w:r>
      <w:r w:rsidR="007E1EDF">
        <w:rPr>
          <w:rFonts w:ascii="Century Schoolbook" w:hAnsi="Century Schoolbook"/>
          <w:color w:val="222222"/>
          <w:sz w:val="24"/>
          <w:szCs w:val="24"/>
          <w:shd w:val="clear" w:color="auto" w:fill="FFFFFF"/>
        </w:rPr>
        <w:t xml:space="preserve">Board chairperson </w:t>
      </w:r>
      <w:r w:rsidR="00A7764D">
        <w:rPr>
          <w:rFonts w:ascii="Century Schoolbook" w:hAnsi="Century Schoolbook"/>
          <w:color w:val="222222"/>
          <w:sz w:val="24"/>
          <w:szCs w:val="24"/>
          <w:shd w:val="clear" w:color="auto" w:fill="FFFFFF"/>
        </w:rPr>
        <w:t>Mlambo JP</w:t>
      </w:r>
      <w:r w:rsidR="007E1EDF">
        <w:rPr>
          <w:rFonts w:ascii="Century Schoolbook" w:hAnsi="Century Schoolbook"/>
          <w:color w:val="222222"/>
          <w:sz w:val="24"/>
          <w:szCs w:val="24"/>
          <w:shd w:val="clear" w:color="auto" w:fill="FFFFFF"/>
        </w:rPr>
        <w:t>, his fellow directors in October 2012,</w:t>
      </w:r>
      <w:r w:rsidR="00B61353">
        <w:rPr>
          <w:rStyle w:val="FootnoteReference"/>
          <w:rFonts w:ascii="Century Schoolbook" w:hAnsi="Century Schoolbook"/>
          <w:color w:val="222222"/>
          <w:sz w:val="24"/>
          <w:szCs w:val="24"/>
          <w:shd w:val="clear" w:color="auto" w:fill="FFFFFF"/>
        </w:rPr>
        <w:footnoteReference w:id="172"/>
      </w:r>
      <w:r w:rsidR="007E1EDF">
        <w:rPr>
          <w:rFonts w:ascii="Century Schoolbook" w:hAnsi="Century Schoolbook"/>
          <w:color w:val="222222"/>
          <w:sz w:val="24"/>
          <w:szCs w:val="24"/>
          <w:shd w:val="clear" w:color="auto" w:fill="FFFFFF"/>
        </w:rPr>
        <w:t xml:space="preserve"> and</w:t>
      </w:r>
      <w:r w:rsidR="00A7764D">
        <w:rPr>
          <w:rFonts w:ascii="Century Schoolbook" w:hAnsi="Century Schoolbook"/>
          <w:color w:val="222222"/>
          <w:sz w:val="24"/>
          <w:szCs w:val="24"/>
          <w:shd w:val="clear" w:color="auto" w:fill="FFFFFF"/>
        </w:rPr>
        <w:t xml:space="preserve"> CEO </w:t>
      </w:r>
      <w:r w:rsidR="006B318C" w:rsidRPr="006C6879">
        <w:rPr>
          <w:rFonts w:ascii="Century Schoolbook" w:hAnsi="Century Schoolbook"/>
          <w:color w:val="222222"/>
          <w:sz w:val="24"/>
          <w:szCs w:val="24"/>
          <w:shd w:val="clear" w:color="auto" w:fill="FFFFFF"/>
        </w:rPr>
        <w:t xml:space="preserve">Vedalankar </w:t>
      </w:r>
      <w:r w:rsidR="007E1EDF">
        <w:rPr>
          <w:rFonts w:ascii="Century Schoolbook" w:hAnsi="Century Schoolbook"/>
          <w:color w:val="222222"/>
          <w:sz w:val="24"/>
          <w:szCs w:val="24"/>
          <w:shd w:val="clear" w:color="auto" w:fill="FFFFFF"/>
        </w:rPr>
        <w:t xml:space="preserve">all </w:t>
      </w:r>
      <w:r w:rsidR="00BE0B80">
        <w:rPr>
          <w:rFonts w:ascii="Century Schoolbook" w:hAnsi="Century Schoolbook"/>
          <w:color w:val="222222"/>
          <w:sz w:val="24"/>
          <w:szCs w:val="24"/>
          <w:shd w:val="clear" w:color="auto" w:fill="FFFFFF"/>
        </w:rPr>
        <w:t xml:space="preserve">committed financial misconduct and </w:t>
      </w:r>
      <w:r w:rsidR="006B318C" w:rsidRPr="006C6879">
        <w:rPr>
          <w:rFonts w:ascii="Century Schoolbook" w:hAnsi="Century Schoolbook"/>
          <w:color w:val="222222"/>
          <w:sz w:val="24"/>
          <w:szCs w:val="24"/>
          <w:shd w:val="clear" w:color="auto" w:fill="FFFFFF"/>
        </w:rPr>
        <w:t>criminally contravened</w:t>
      </w:r>
      <w:r w:rsidR="002E3F2E">
        <w:rPr>
          <w:rFonts w:ascii="Century Schoolbook" w:hAnsi="Century Schoolbook"/>
          <w:color w:val="222222"/>
          <w:sz w:val="24"/>
          <w:szCs w:val="24"/>
          <w:shd w:val="clear" w:color="auto" w:fill="FFFFFF"/>
        </w:rPr>
        <w:t xml:space="preserve"> section 55 of the PFMA</w:t>
      </w:r>
      <w:r w:rsidR="00E634E5">
        <w:rPr>
          <w:rFonts w:ascii="Century Schoolbook" w:hAnsi="Century Schoolbook"/>
          <w:color w:val="222222"/>
          <w:sz w:val="24"/>
          <w:szCs w:val="24"/>
          <w:shd w:val="clear" w:color="auto" w:fill="FFFFFF"/>
        </w:rPr>
        <w:t>, for which they’re liable to be jailed under section 86(2)</w:t>
      </w:r>
      <w:r w:rsidR="002E3F2E">
        <w:rPr>
          <w:rFonts w:ascii="Century Schoolbook" w:hAnsi="Century Schoolbook"/>
          <w:color w:val="222222"/>
          <w:sz w:val="24"/>
          <w:szCs w:val="24"/>
          <w:shd w:val="clear" w:color="auto" w:fill="FFFFFF"/>
        </w:rPr>
        <w:t>.</w:t>
      </w:r>
    </w:p>
    <w:p w:rsidR="003A220E" w:rsidRPr="00900EE9" w:rsidRDefault="00F72CDC" w:rsidP="00552198">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sidRPr="00900EE9">
        <w:rPr>
          <w:rFonts w:ascii="Century Schoolbook" w:hAnsi="Century Schoolbook"/>
          <w:color w:val="222222"/>
          <w:sz w:val="24"/>
          <w:szCs w:val="24"/>
          <w:shd w:val="clear" w:color="auto" w:fill="FFFFFF"/>
        </w:rPr>
        <w:t xml:space="preserve">In deliberately falsely reporting to </w:t>
      </w:r>
      <w:r w:rsidR="00875488" w:rsidRPr="00900EE9">
        <w:rPr>
          <w:rFonts w:ascii="Century Schoolbook" w:hAnsi="Century Schoolbook"/>
          <w:color w:val="222222"/>
          <w:sz w:val="24"/>
          <w:szCs w:val="24"/>
          <w:shd w:val="clear" w:color="auto" w:fill="FFFFFF"/>
        </w:rPr>
        <w:t xml:space="preserve">and misleading </w:t>
      </w:r>
      <w:r w:rsidRPr="00900EE9">
        <w:rPr>
          <w:rFonts w:ascii="Century Schoolbook" w:hAnsi="Century Schoolbook"/>
          <w:color w:val="222222"/>
          <w:sz w:val="24"/>
          <w:szCs w:val="24"/>
          <w:shd w:val="clear" w:color="auto" w:fill="FFFFFF"/>
        </w:rPr>
        <w:t>the Justice Portfolio Committee</w:t>
      </w:r>
      <w:r w:rsidR="008B3DDD">
        <w:rPr>
          <w:rFonts w:ascii="Century Schoolbook" w:hAnsi="Century Schoolbook"/>
          <w:color w:val="222222"/>
          <w:sz w:val="24"/>
          <w:szCs w:val="24"/>
          <w:shd w:val="clear" w:color="auto" w:fill="FFFFFF"/>
        </w:rPr>
        <w:t xml:space="preserve"> in LASA’s annual report for 2011/12</w:t>
      </w:r>
      <w:r w:rsidRPr="00900EE9">
        <w:rPr>
          <w:rFonts w:ascii="Century Schoolbook" w:hAnsi="Century Schoolbook"/>
          <w:color w:val="222222"/>
          <w:sz w:val="24"/>
          <w:szCs w:val="24"/>
          <w:shd w:val="clear" w:color="auto" w:fill="FFFFFF"/>
        </w:rPr>
        <w:t>,</w:t>
      </w:r>
      <w:r w:rsidR="008B3DDD">
        <w:rPr>
          <w:rFonts w:ascii="Century Schoolbook" w:hAnsi="Century Schoolbook"/>
          <w:color w:val="222222"/>
          <w:sz w:val="24"/>
          <w:szCs w:val="24"/>
          <w:shd w:val="clear" w:color="auto" w:fill="FFFFFF"/>
        </w:rPr>
        <w:t xml:space="preserve"> prefaced with Vedalankar’s CEO report,</w:t>
      </w:r>
      <w:r w:rsidRPr="00900EE9">
        <w:rPr>
          <w:rFonts w:ascii="Century Schoolbook" w:hAnsi="Century Schoolbook"/>
          <w:color w:val="222222"/>
          <w:sz w:val="24"/>
          <w:szCs w:val="24"/>
          <w:shd w:val="clear" w:color="auto" w:fill="FFFFFF"/>
        </w:rPr>
        <w:t xml:space="preserve"> </w:t>
      </w:r>
      <w:r w:rsidR="007E1EDF">
        <w:rPr>
          <w:rFonts w:ascii="Century Schoolbook" w:hAnsi="Century Schoolbook"/>
          <w:color w:val="222222"/>
          <w:sz w:val="24"/>
          <w:szCs w:val="24"/>
          <w:shd w:val="clear" w:color="auto" w:fill="FFFFFF"/>
        </w:rPr>
        <w:t xml:space="preserve">Mlambo JP, </w:t>
      </w:r>
      <w:r w:rsidR="007864BA">
        <w:rPr>
          <w:rFonts w:ascii="Century Schoolbook" w:hAnsi="Century Schoolbook"/>
          <w:color w:val="222222"/>
          <w:sz w:val="24"/>
          <w:szCs w:val="24"/>
          <w:shd w:val="clear" w:color="auto" w:fill="FFFFFF"/>
        </w:rPr>
        <w:t xml:space="preserve">other members of </w:t>
      </w:r>
      <w:r w:rsidR="007E1EDF">
        <w:rPr>
          <w:rFonts w:ascii="Century Schoolbook" w:hAnsi="Century Schoolbook"/>
          <w:color w:val="222222"/>
          <w:sz w:val="24"/>
          <w:szCs w:val="24"/>
          <w:shd w:val="clear" w:color="auto" w:fill="FFFFFF"/>
        </w:rPr>
        <w:t>the Board</w:t>
      </w:r>
      <w:r w:rsidR="007864BA">
        <w:rPr>
          <w:rFonts w:ascii="Century Schoolbook" w:hAnsi="Century Schoolbook"/>
          <w:color w:val="222222"/>
          <w:sz w:val="24"/>
          <w:szCs w:val="24"/>
          <w:shd w:val="clear" w:color="auto" w:fill="FFFFFF"/>
        </w:rPr>
        <w:t xml:space="preserve"> at the time</w:t>
      </w:r>
      <w:r w:rsidR="007E1EDF">
        <w:rPr>
          <w:rFonts w:ascii="Century Schoolbook" w:hAnsi="Century Schoolbook"/>
          <w:color w:val="222222"/>
          <w:sz w:val="24"/>
          <w:szCs w:val="24"/>
          <w:shd w:val="clear" w:color="auto" w:fill="FFFFFF"/>
        </w:rPr>
        <w:t xml:space="preserve"> and CEO </w:t>
      </w:r>
      <w:r w:rsidR="003A220E" w:rsidRPr="00900EE9">
        <w:rPr>
          <w:rFonts w:ascii="Century Schoolbook" w:hAnsi="Century Schoolbook"/>
          <w:color w:val="222222"/>
          <w:sz w:val="24"/>
          <w:szCs w:val="24"/>
          <w:shd w:val="clear" w:color="auto" w:fill="FFFFFF"/>
        </w:rPr>
        <w:t>Vedalankar further</w:t>
      </w:r>
      <w:r w:rsidR="00C57E69">
        <w:rPr>
          <w:rFonts w:ascii="Century Schoolbook" w:hAnsi="Century Schoolbook"/>
          <w:color w:val="222222"/>
          <w:sz w:val="24"/>
          <w:szCs w:val="24"/>
          <w:shd w:val="clear" w:color="auto" w:fill="FFFFFF"/>
        </w:rPr>
        <w:t>more</w:t>
      </w:r>
      <w:r w:rsidR="003A220E" w:rsidRPr="00900EE9">
        <w:rPr>
          <w:rFonts w:ascii="Century Schoolbook" w:hAnsi="Century Schoolbook"/>
          <w:color w:val="222222"/>
          <w:sz w:val="24"/>
          <w:szCs w:val="24"/>
          <w:shd w:val="clear" w:color="auto" w:fill="FFFFFF"/>
        </w:rPr>
        <w:t xml:space="preserve"> criminally contravened section </w:t>
      </w:r>
      <w:r w:rsidRPr="00900EE9">
        <w:rPr>
          <w:rFonts w:ascii="Century Schoolbook" w:hAnsi="Century Schoolbook"/>
          <w:sz w:val="24"/>
          <w:szCs w:val="24"/>
        </w:rPr>
        <w:t xml:space="preserve">17(2) of the Powers, Privileges and Immunities of Parliament and Provincial Legislatures Act 4 of </w:t>
      </w:r>
      <w:r w:rsidRPr="00900EE9">
        <w:rPr>
          <w:rFonts w:ascii="Century Schoolbook" w:hAnsi="Century Schoolbook"/>
          <w:sz w:val="24"/>
          <w:szCs w:val="24"/>
        </w:rPr>
        <w:lastRenderedPageBreak/>
        <w:t>2004</w:t>
      </w:r>
      <w:r w:rsidR="00AA1166">
        <w:rPr>
          <w:rFonts w:ascii="Century Schoolbook" w:hAnsi="Century Schoolbook"/>
          <w:sz w:val="24"/>
          <w:szCs w:val="24"/>
        </w:rPr>
        <w:t xml:space="preserve"> (‘Powers</w:t>
      </w:r>
      <w:r w:rsidR="00391EC1">
        <w:rPr>
          <w:rFonts w:ascii="Century Schoolbook" w:hAnsi="Century Schoolbook"/>
          <w:sz w:val="24"/>
          <w:szCs w:val="24"/>
        </w:rPr>
        <w:t>,</w:t>
      </w:r>
      <w:r w:rsidR="00AA1166">
        <w:rPr>
          <w:rFonts w:ascii="Century Schoolbook" w:hAnsi="Century Schoolbook"/>
          <w:sz w:val="24"/>
          <w:szCs w:val="24"/>
        </w:rPr>
        <w:t xml:space="preserve"> Privileges </w:t>
      </w:r>
      <w:r w:rsidR="00391EC1">
        <w:rPr>
          <w:rFonts w:ascii="Century Schoolbook" w:hAnsi="Century Schoolbook"/>
          <w:sz w:val="24"/>
          <w:szCs w:val="24"/>
        </w:rPr>
        <w:t xml:space="preserve">and Immunities </w:t>
      </w:r>
      <w:r w:rsidR="00AA1166">
        <w:rPr>
          <w:rFonts w:ascii="Century Schoolbook" w:hAnsi="Century Schoolbook"/>
          <w:sz w:val="24"/>
          <w:szCs w:val="24"/>
        </w:rPr>
        <w:t>Act’)</w:t>
      </w:r>
      <w:r w:rsidR="00875488">
        <w:rPr>
          <w:rFonts w:ascii="Century Schoolbook" w:hAnsi="Century Schoolbook"/>
          <w:sz w:val="24"/>
          <w:szCs w:val="24"/>
        </w:rPr>
        <w:t>,</w:t>
      </w:r>
      <w:r w:rsidR="00AC2900">
        <w:rPr>
          <w:rStyle w:val="FootnoteReference"/>
          <w:rFonts w:ascii="Century Schoolbook" w:hAnsi="Century Schoolbook"/>
          <w:sz w:val="24"/>
          <w:szCs w:val="24"/>
        </w:rPr>
        <w:footnoteReference w:id="173"/>
      </w:r>
      <w:r w:rsidR="00875488">
        <w:rPr>
          <w:rFonts w:ascii="Century Schoolbook" w:hAnsi="Century Schoolbook"/>
          <w:sz w:val="24"/>
          <w:szCs w:val="24"/>
        </w:rPr>
        <w:t xml:space="preserve"> for which they’re liable to be jailed</w:t>
      </w:r>
      <w:r w:rsidRPr="00900EE9">
        <w:rPr>
          <w:rFonts w:ascii="Century Schoolbook" w:hAnsi="Century Schoolbook"/>
          <w:sz w:val="24"/>
          <w:szCs w:val="24"/>
        </w:rPr>
        <w:t>:</w:t>
      </w:r>
    </w:p>
    <w:p w:rsidR="00900EE9" w:rsidRPr="00900EE9" w:rsidRDefault="00900EE9" w:rsidP="00900EE9">
      <w:pPr>
        <w:pStyle w:val="ListParagraph"/>
        <w:spacing w:after="0" w:line="384" w:lineRule="auto"/>
        <w:rPr>
          <w:rFonts w:ascii="Century Schoolbook" w:hAnsi="Century Schoolbook"/>
          <w:sz w:val="24"/>
          <w:szCs w:val="24"/>
        </w:rPr>
      </w:pPr>
      <w:r w:rsidRPr="00900EE9">
        <w:rPr>
          <w:rFonts w:ascii="Century Schoolbook" w:hAnsi="Century Schoolbook"/>
          <w:sz w:val="24"/>
          <w:szCs w:val="24"/>
        </w:rPr>
        <w:t xml:space="preserve">A person who – </w:t>
      </w:r>
    </w:p>
    <w:p w:rsidR="00900EE9" w:rsidRPr="00900EE9" w:rsidRDefault="00900EE9" w:rsidP="00900EE9">
      <w:pPr>
        <w:pStyle w:val="ListParagraph"/>
        <w:spacing w:after="0" w:line="384" w:lineRule="auto"/>
        <w:rPr>
          <w:rFonts w:ascii="Century Schoolbook" w:hAnsi="Century Schoolbook"/>
          <w:sz w:val="24"/>
          <w:szCs w:val="24"/>
        </w:rPr>
      </w:pPr>
      <w:r w:rsidRPr="00900EE9">
        <w:rPr>
          <w:rFonts w:ascii="Century Schoolbook" w:hAnsi="Century Schoolbook"/>
          <w:sz w:val="24"/>
          <w:szCs w:val="24"/>
        </w:rPr>
        <w:t xml:space="preserve">… </w:t>
      </w:r>
    </w:p>
    <w:p w:rsidR="00900EE9" w:rsidRPr="00900EE9" w:rsidRDefault="00900EE9" w:rsidP="00900EE9">
      <w:pPr>
        <w:pStyle w:val="ListParagraph"/>
        <w:tabs>
          <w:tab w:val="left" w:pos="450"/>
        </w:tabs>
        <w:spacing w:after="0" w:line="384" w:lineRule="auto"/>
        <w:rPr>
          <w:rFonts w:ascii="Century Schoolbook" w:hAnsi="Century Schoolbook"/>
          <w:sz w:val="24"/>
          <w:szCs w:val="24"/>
        </w:rPr>
      </w:pPr>
      <w:r w:rsidRPr="00900EE9">
        <w:rPr>
          <w:rFonts w:ascii="Century Schoolbook" w:hAnsi="Century Schoolbook"/>
          <w:sz w:val="24"/>
          <w:szCs w:val="24"/>
        </w:rPr>
        <w:t xml:space="preserve">(d) with intent to deceive a House or committee, produces to the House or committee any false, untrue, fabricated or falsified document; or </w:t>
      </w:r>
    </w:p>
    <w:p w:rsidR="00900EE9" w:rsidRPr="00900EE9" w:rsidRDefault="00900EE9" w:rsidP="00900EE9">
      <w:pPr>
        <w:pStyle w:val="ListParagraph"/>
        <w:tabs>
          <w:tab w:val="left" w:pos="450"/>
        </w:tabs>
        <w:spacing w:after="0" w:line="384" w:lineRule="auto"/>
        <w:rPr>
          <w:rFonts w:ascii="Century Schoolbook" w:hAnsi="Century Schoolbook"/>
          <w:sz w:val="24"/>
          <w:szCs w:val="24"/>
        </w:rPr>
      </w:pPr>
      <w:r w:rsidRPr="00900EE9">
        <w:rPr>
          <w:rFonts w:ascii="Century Schoolbook" w:hAnsi="Century Schoolbook"/>
          <w:sz w:val="24"/>
          <w:szCs w:val="24"/>
        </w:rPr>
        <w:t>(e)</w:t>
      </w:r>
      <w:r w:rsidR="00E93CF4">
        <w:rPr>
          <w:rFonts w:ascii="Century Schoolbook" w:hAnsi="Century Schoolbook"/>
          <w:sz w:val="24"/>
          <w:szCs w:val="24"/>
        </w:rPr>
        <w:t xml:space="preserve"> </w:t>
      </w:r>
      <w:r w:rsidRPr="00900EE9">
        <w:rPr>
          <w:rFonts w:ascii="Century Schoolbook" w:hAnsi="Century Schoolbook"/>
          <w:sz w:val="24"/>
          <w:szCs w:val="24"/>
        </w:rPr>
        <w:t xml:space="preserve">… wilfully furnishes a House or committee with information … which is false or misleading, </w:t>
      </w:r>
    </w:p>
    <w:p w:rsidR="00900EE9" w:rsidRPr="00900EE9" w:rsidRDefault="00900EE9" w:rsidP="00900EE9">
      <w:pPr>
        <w:pStyle w:val="ListParagraph"/>
        <w:spacing w:line="384" w:lineRule="auto"/>
        <w:contextualSpacing w:val="0"/>
        <w:rPr>
          <w:rFonts w:ascii="Century Schoolbook" w:hAnsi="Century Schoolbook"/>
          <w:sz w:val="24"/>
          <w:szCs w:val="24"/>
        </w:rPr>
      </w:pPr>
      <w:r w:rsidRPr="00900EE9">
        <w:rPr>
          <w:rFonts w:ascii="Century Schoolbook" w:hAnsi="Century Schoolbook"/>
          <w:sz w:val="24"/>
          <w:szCs w:val="24"/>
        </w:rPr>
        <w:t>commits an offence and is liable to a fine or to imprisonment for a period not exceeding two years or to both the fine and imprisonment.</w:t>
      </w:r>
    </w:p>
    <w:p w:rsidR="00390014" w:rsidRPr="004A1FFC" w:rsidRDefault="00390014" w:rsidP="00B01397">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sidRPr="00D34E6C">
        <w:rPr>
          <w:rFonts w:ascii="Century Schoolbook" w:hAnsi="Century Schoolbook"/>
          <w:color w:val="000000" w:themeColor="text1"/>
          <w:sz w:val="24"/>
          <w:szCs w:val="24"/>
        </w:rPr>
        <w:t xml:space="preserve">Mlambo JP’s and the Board’s and CEO Vedalankar’s </w:t>
      </w:r>
      <w:r w:rsidR="00287C59">
        <w:rPr>
          <w:rFonts w:ascii="Century Schoolbook" w:hAnsi="Century Schoolbook"/>
          <w:color w:val="000000" w:themeColor="text1"/>
          <w:sz w:val="24"/>
          <w:szCs w:val="24"/>
        </w:rPr>
        <w:t xml:space="preserve">fraudulent </w:t>
      </w:r>
      <w:r w:rsidRPr="00D34E6C">
        <w:rPr>
          <w:rFonts w:ascii="Century Schoolbook" w:hAnsi="Century Schoolbook"/>
          <w:color w:val="000000" w:themeColor="text1"/>
          <w:sz w:val="24"/>
          <w:szCs w:val="24"/>
        </w:rPr>
        <w:t xml:space="preserve">deception of the Minister and the National Assembly </w:t>
      </w:r>
      <w:r w:rsidR="00D34E6C">
        <w:rPr>
          <w:rFonts w:ascii="Century Schoolbook" w:hAnsi="Century Schoolbook"/>
          <w:color w:val="000000" w:themeColor="text1"/>
          <w:sz w:val="24"/>
          <w:szCs w:val="24"/>
        </w:rPr>
        <w:t xml:space="preserve">regarding the employment of Senior Litigators and specialist legal professional capacity being in place </w:t>
      </w:r>
      <w:r w:rsidR="00D34E6C" w:rsidRPr="00D34E6C">
        <w:rPr>
          <w:rFonts w:ascii="Century Schoolbook" w:hAnsi="Century Schoolbook"/>
          <w:color w:val="000000" w:themeColor="text1"/>
          <w:sz w:val="24"/>
          <w:szCs w:val="24"/>
        </w:rPr>
        <w:t xml:space="preserve">additionally </w:t>
      </w:r>
      <w:r w:rsidR="00700812">
        <w:rPr>
          <w:rFonts w:ascii="Century Schoolbook" w:hAnsi="Century Schoolbook"/>
          <w:color w:val="000000" w:themeColor="text1"/>
          <w:sz w:val="24"/>
          <w:szCs w:val="24"/>
        </w:rPr>
        <w:t>failed to comply with</w:t>
      </w:r>
      <w:r w:rsidRPr="00D34E6C">
        <w:rPr>
          <w:rFonts w:ascii="Century Schoolbook" w:hAnsi="Century Schoolbook"/>
          <w:color w:val="000000" w:themeColor="text1"/>
          <w:sz w:val="24"/>
          <w:szCs w:val="24"/>
        </w:rPr>
        <w:t xml:space="preserve"> ‘Strategy C4’ of the respondent’s Strategic Plan 2009–12, namely ‘To timeously account to Parliament and the Executive Authority so they are well informed of Legal Aid South Africa strategy and programmes’</w:t>
      </w:r>
      <w:r w:rsidR="00C2525A">
        <w:rPr>
          <w:rFonts w:ascii="Century Schoolbook" w:hAnsi="Century Schoolbook"/>
          <w:color w:val="000000" w:themeColor="text1"/>
          <w:sz w:val="24"/>
          <w:szCs w:val="24"/>
        </w:rPr>
        <w:t xml:space="preserve"> – a material irregularity</w:t>
      </w:r>
      <w:r w:rsidR="00D34E6C">
        <w:rPr>
          <w:rFonts w:ascii="Century Schoolbook" w:hAnsi="Century Schoolbook"/>
          <w:color w:val="000000" w:themeColor="text1"/>
          <w:sz w:val="24"/>
          <w:szCs w:val="24"/>
        </w:rPr>
        <w:t>.</w:t>
      </w:r>
      <w:r w:rsidR="00D34E6C" w:rsidRPr="00D34E6C">
        <w:rPr>
          <w:rFonts w:ascii="Century Schoolbook" w:hAnsi="Century Schoolbook"/>
          <w:color w:val="000000" w:themeColor="text1"/>
          <w:sz w:val="24"/>
          <w:szCs w:val="24"/>
        </w:rPr>
        <w:t xml:space="preserve"> ‘Strategy C4’</w:t>
      </w:r>
      <w:r w:rsidRPr="00D34E6C">
        <w:rPr>
          <w:rFonts w:ascii="Century Schoolbook" w:hAnsi="Century Schoolbook"/>
          <w:color w:val="000000" w:themeColor="text1"/>
          <w:sz w:val="24"/>
          <w:szCs w:val="24"/>
        </w:rPr>
        <w:t xml:space="preserve"> specifically require</w:t>
      </w:r>
      <w:r w:rsidR="00A720FF">
        <w:rPr>
          <w:rFonts w:ascii="Century Schoolbook" w:hAnsi="Century Schoolbook"/>
          <w:color w:val="000000" w:themeColor="text1"/>
          <w:sz w:val="24"/>
          <w:szCs w:val="24"/>
        </w:rPr>
        <w:t>d</w:t>
      </w:r>
      <w:r w:rsidRPr="00D34E6C">
        <w:rPr>
          <w:rFonts w:ascii="Century Schoolbook" w:hAnsi="Century Schoolbook"/>
          <w:color w:val="000000" w:themeColor="text1"/>
          <w:sz w:val="24"/>
          <w:szCs w:val="24"/>
        </w:rPr>
        <w:t xml:space="preserve"> ‘Timeous and Accurate … Interaction with Minister’ and ‘Accurate … Interaction with Parliamentary Committees’.</w:t>
      </w:r>
      <w:r w:rsidRPr="00D34E6C">
        <w:rPr>
          <w:rStyle w:val="FootnoteReference"/>
          <w:rFonts w:ascii="Century Schoolbook" w:hAnsi="Century Schoolbook"/>
          <w:color w:val="000000" w:themeColor="text1"/>
          <w:sz w:val="24"/>
          <w:szCs w:val="24"/>
        </w:rPr>
        <w:footnoteReference w:id="174"/>
      </w:r>
      <w:r w:rsidR="00287C59">
        <w:rPr>
          <w:rFonts w:ascii="Century Schoolbook" w:hAnsi="Century Schoolbook"/>
          <w:color w:val="000000" w:themeColor="text1"/>
          <w:sz w:val="24"/>
          <w:szCs w:val="24"/>
        </w:rPr>
        <w:t xml:space="preserve"> And section 1 of the PAA includes ‘fraud’ as a ‘material irregularity’ of concern to the Auditor-General.</w:t>
      </w:r>
    </w:p>
    <w:p w:rsidR="004A1FFC" w:rsidRPr="004A1FFC" w:rsidRDefault="004A1FFC" w:rsidP="00B01397">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sidRPr="004A1FFC">
        <w:rPr>
          <w:rFonts w:ascii="Century Schoolbook" w:hAnsi="Century Schoolbook" w:cs="Arial"/>
          <w:color w:val="000000" w:themeColor="text1"/>
          <w:sz w:val="24"/>
          <w:szCs w:val="24"/>
        </w:rPr>
        <w:t xml:space="preserve">Displaying </w:t>
      </w:r>
      <w:r w:rsidR="007B2FE7">
        <w:rPr>
          <w:rFonts w:ascii="Century Schoolbook" w:hAnsi="Century Schoolbook" w:cs="Arial"/>
          <w:color w:val="000000" w:themeColor="text1"/>
          <w:sz w:val="24"/>
          <w:szCs w:val="24"/>
        </w:rPr>
        <w:t xml:space="preserve">a </w:t>
      </w:r>
      <w:r w:rsidRPr="004A1FFC">
        <w:rPr>
          <w:rFonts w:ascii="Century Schoolbook" w:hAnsi="Century Schoolbook" w:cs="Arial"/>
          <w:color w:val="000000" w:themeColor="text1"/>
          <w:sz w:val="24"/>
          <w:szCs w:val="24"/>
        </w:rPr>
        <w:t xml:space="preserve">similar flagrant </w:t>
      </w:r>
      <w:r w:rsidR="007A5178">
        <w:rPr>
          <w:rFonts w:ascii="Century Schoolbook" w:hAnsi="Century Schoolbook" w:cs="Arial"/>
          <w:color w:val="000000" w:themeColor="text1"/>
          <w:sz w:val="24"/>
          <w:szCs w:val="24"/>
        </w:rPr>
        <w:t>contempt</w:t>
      </w:r>
      <w:r w:rsidRPr="004A1FFC">
        <w:rPr>
          <w:rFonts w:ascii="Century Schoolbook" w:hAnsi="Century Schoolbook" w:cs="Arial"/>
          <w:color w:val="000000" w:themeColor="text1"/>
          <w:sz w:val="24"/>
          <w:szCs w:val="24"/>
        </w:rPr>
        <w:t xml:space="preserve"> for the truth</w:t>
      </w:r>
      <w:r>
        <w:rPr>
          <w:rStyle w:val="FootnoteReference"/>
          <w:rFonts w:ascii="Century Schoolbook" w:hAnsi="Century Schoolbook" w:cs="Arial"/>
          <w:color w:val="000000" w:themeColor="text1"/>
          <w:sz w:val="24"/>
          <w:szCs w:val="24"/>
        </w:rPr>
        <w:footnoteReference w:id="175"/>
      </w:r>
      <w:r w:rsidRPr="004A1FFC">
        <w:rPr>
          <w:rFonts w:ascii="Century Schoolbook" w:hAnsi="Century Schoolbook" w:cs="Arial"/>
          <w:color w:val="000000" w:themeColor="text1"/>
          <w:sz w:val="24"/>
          <w:szCs w:val="24"/>
        </w:rPr>
        <w:t xml:space="preserve"> in her</w:t>
      </w:r>
      <w:r w:rsidRPr="004A1FFC">
        <w:rPr>
          <w:rStyle w:val="FootnoteReference"/>
          <w:rFonts w:ascii="Century Schoolbook" w:hAnsi="Century Schoolbook" w:cs="Arial"/>
          <w:color w:val="000000" w:themeColor="text1"/>
          <w:sz w:val="24"/>
          <w:szCs w:val="24"/>
        </w:rPr>
        <w:footnoteReference w:id="176"/>
      </w:r>
      <w:r w:rsidRPr="004A1FFC">
        <w:rPr>
          <w:rFonts w:ascii="Century Schoolbook" w:hAnsi="Century Schoolbook" w:cs="Arial"/>
          <w:color w:val="000000" w:themeColor="text1"/>
          <w:sz w:val="24"/>
          <w:szCs w:val="24"/>
        </w:rPr>
        <w:t xml:space="preserve"> entry </w:t>
      </w:r>
      <w:r w:rsidR="00302204" w:rsidRPr="004A1FFC">
        <w:rPr>
          <w:rFonts w:ascii="Century Schoolbook" w:hAnsi="Century Schoolbook" w:cs="Arial"/>
          <w:color w:val="000000" w:themeColor="text1"/>
          <w:sz w:val="24"/>
          <w:szCs w:val="24"/>
        </w:rPr>
        <w:t>in LASA’s ‘Business Plan 2011/12’</w:t>
      </w:r>
      <w:r w:rsidR="00302204">
        <w:rPr>
          <w:rFonts w:ascii="Century Schoolbook" w:hAnsi="Century Schoolbook" w:cs="Arial"/>
          <w:color w:val="000000" w:themeColor="text1"/>
          <w:sz w:val="24"/>
          <w:szCs w:val="24"/>
        </w:rPr>
        <w:t xml:space="preserve"> </w:t>
      </w:r>
      <w:r w:rsidRPr="004A1FFC">
        <w:rPr>
          <w:rFonts w:ascii="Century Schoolbook" w:hAnsi="Century Schoolbook" w:cs="Arial"/>
          <w:color w:val="000000" w:themeColor="text1"/>
          <w:sz w:val="24"/>
          <w:szCs w:val="24"/>
        </w:rPr>
        <w:t>in section P26</w:t>
      </w:r>
      <w:r w:rsidR="00212DDE">
        <w:rPr>
          <w:rFonts w:ascii="Century Schoolbook" w:hAnsi="Century Schoolbook" w:cs="Arial"/>
          <w:color w:val="000000" w:themeColor="text1"/>
          <w:sz w:val="24"/>
          <w:szCs w:val="24"/>
        </w:rPr>
        <w:t>–</w:t>
      </w:r>
      <w:r w:rsidRPr="004A1FFC">
        <w:rPr>
          <w:rFonts w:ascii="Century Schoolbook" w:hAnsi="Century Schoolbook" w:cs="Arial"/>
          <w:color w:val="000000" w:themeColor="text1"/>
          <w:sz w:val="24"/>
          <w:szCs w:val="24"/>
        </w:rPr>
        <w:t>10 head</w:t>
      </w:r>
      <w:r w:rsidR="00302204">
        <w:rPr>
          <w:rFonts w:ascii="Century Schoolbook" w:hAnsi="Century Schoolbook" w:cs="Arial"/>
          <w:color w:val="000000" w:themeColor="text1"/>
          <w:sz w:val="24"/>
          <w:szCs w:val="24"/>
        </w:rPr>
        <w:t>ed</w:t>
      </w:r>
      <w:r w:rsidRPr="004A1FFC">
        <w:rPr>
          <w:rFonts w:ascii="Century Schoolbook" w:hAnsi="Century Schoolbook" w:cs="Arial"/>
          <w:color w:val="000000" w:themeColor="text1"/>
          <w:sz w:val="24"/>
          <w:szCs w:val="24"/>
        </w:rPr>
        <w:t xml:space="preserve"> ‘Talent acquisition and retention’,</w:t>
      </w:r>
      <w:r w:rsidR="00092EAF">
        <w:rPr>
          <w:rFonts w:ascii="Century Schoolbook" w:hAnsi="Century Schoolbook" w:cs="Arial"/>
          <w:color w:val="000000" w:themeColor="text1"/>
          <w:sz w:val="24"/>
          <w:szCs w:val="24"/>
        </w:rPr>
        <w:t xml:space="preserve"> </w:t>
      </w:r>
      <w:r w:rsidRPr="004A1FFC">
        <w:rPr>
          <w:rFonts w:ascii="Century Schoolbook" w:hAnsi="Century Schoolbook" w:cs="Arial"/>
          <w:color w:val="000000" w:themeColor="text1"/>
          <w:sz w:val="24"/>
          <w:szCs w:val="24"/>
        </w:rPr>
        <w:t>HRE Clark</w:t>
      </w:r>
      <w:r w:rsidR="005618B0">
        <w:rPr>
          <w:rFonts w:ascii="Century Schoolbook" w:hAnsi="Century Schoolbook" w:cs="Arial"/>
          <w:color w:val="000000" w:themeColor="text1"/>
          <w:sz w:val="24"/>
          <w:szCs w:val="24"/>
        </w:rPr>
        <w:t xml:space="preserve"> </w:t>
      </w:r>
      <w:r w:rsidR="00871A8A">
        <w:rPr>
          <w:rFonts w:ascii="Century Schoolbook" w:hAnsi="Century Schoolbook" w:cs="Arial"/>
          <w:color w:val="000000" w:themeColor="text1"/>
          <w:sz w:val="24"/>
          <w:szCs w:val="24"/>
        </w:rPr>
        <w:t xml:space="preserve">dishonestly concealed </w:t>
      </w:r>
      <w:r w:rsidR="00E43BE4">
        <w:rPr>
          <w:rFonts w:ascii="Century Schoolbook" w:hAnsi="Century Schoolbook" w:cs="Arial"/>
          <w:color w:val="000000" w:themeColor="text1"/>
          <w:sz w:val="24"/>
          <w:szCs w:val="24"/>
        </w:rPr>
        <w:t>from the Board, to which the plan was submitted for review,</w:t>
      </w:r>
      <w:r w:rsidR="00E43BE4">
        <w:rPr>
          <w:rStyle w:val="FootnoteReference"/>
          <w:rFonts w:ascii="Century Schoolbook" w:hAnsi="Century Schoolbook" w:cs="Arial"/>
          <w:color w:val="000000" w:themeColor="text1"/>
          <w:sz w:val="24"/>
          <w:szCs w:val="24"/>
        </w:rPr>
        <w:footnoteReference w:id="177"/>
      </w:r>
      <w:r w:rsidR="00E43BE4">
        <w:rPr>
          <w:rFonts w:ascii="Century Schoolbook" w:hAnsi="Century Schoolbook" w:cs="Arial"/>
          <w:color w:val="000000" w:themeColor="text1"/>
          <w:sz w:val="24"/>
          <w:szCs w:val="24"/>
        </w:rPr>
        <w:t xml:space="preserve"> </w:t>
      </w:r>
      <w:r w:rsidRPr="004A1FFC">
        <w:rPr>
          <w:rFonts w:ascii="Century Schoolbook" w:hAnsi="Century Schoolbook" w:cs="Arial"/>
          <w:color w:val="000000" w:themeColor="text1"/>
          <w:sz w:val="24"/>
          <w:szCs w:val="24"/>
        </w:rPr>
        <w:t xml:space="preserve">that </w:t>
      </w:r>
      <w:r w:rsidR="00477D07">
        <w:rPr>
          <w:rFonts w:ascii="Century Schoolbook" w:hAnsi="Century Schoolbook" w:cs="Arial"/>
          <w:color w:val="000000" w:themeColor="text1"/>
          <w:sz w:val="24"/>
          <w:szCs w:val="24"/>
        </w:rPr>
        <w:t>a third</w:t>
      </w:r>
      <w:r w:rsidRPr="004A1FFC">
        <w:rPr>
          <w:rFonts w:ascii="Century Schoolbook" w:hAnsi="Century Schoolbook" w:cs="Arial"/>
          <w:color w:val="000000" w:themeColor="text1"/>
          <w:sz w:val="24"/>
          <w:szCs w:val="24"/>
        </w:rPr>
        <w:t xml:space="preserve"> of LASA’s critical Senior Litigator posts </w:t>
      </w:r>
      <w:r w:rsidRPr="004A1FFC">
        <w:rPr>
          <w:rFonts w:ascii="Century Schoolbook" w:hAnsi="Century Schoolbook" w:cs="Arial"/>
          <w:color w:val="000000" w:themeColor="text1"/>
          <w:sz w:val="24"/>
          <w:szCs w:val="24"/>
        </w:rPr>
        <w:lastRenderedPageBreak/>
        <w:t>had long been vacant</w:t>
      </w:r>
      <w:r w:rsidR="00092EAF" w:rsidRPr="00092EAF">
        <w:rPr>
          <w:rFonts w:ascii="Century Schoolbook" w:hAnsi="Century Schoolbook" w:cs="Arial"/>
          <w:color w:val="000000" w:themeColor="text1"/>
          <w:sz w:val="24"/>
          <w:szCs w:val="24"/>
        </w:rPr>
        <w:t xml:space="preserve"> </w:t>
      </w:r>
      <w:r w:rsidR="00092EAF">
        <w:rPr>
          <w:rFonts w:ascii="Century Schoolbook" w:hAnsi="Century Schoolbook" w:cs="Arial"/>
          <w:color w:val="000000" w:themeColor="text1"/>
          <w:sz w:val="24"/>
          <w:szCs w:val="24"/>
        </w:rPr>
        <w:t>since their creation in November 2006</w:t>
      </w:r>
      <w:r w:rsidRPr="004A1FFC">
        <w:rPr>
          <w:rFonts w:ascii="Century Schoolbook" w:hAnsi="Century Schoolbook" w:cs="Arial"/>
          <w:color w:val="000000" w:themeColor="text1"/>
          <w:sz w:val="24"/>
          <w:szCs w:val="24"/>
        </w:rPr>
        <w:t>,</w:t>
      </w:r>
      <w:r w:rsidR="00302204">
        <w:rPr>
          <w:rStyle w:val="FootnoteReference"/>
          <w:rFonts w:ascii="Century Schoolbook" w:hAnsi="Century Schoolbook" w:cs="Arial"/>
          <w:color w:val="000000" w:themeColor="text1"/>
          <w:sz w:val="24"/>
          <w:szCs w:val="24"/>
        </w:rPr>
        <w:footnoteReference w:id="178"/>
      </w:r>
      <w:r w:rsidRPr="004A1FFC">
        <w:rPr>
          <w:rFonts w:ascii="Century Schoolbook" w:hAnsi="Century Schoolbook" w:cs="Arial"/>
          <w:color w:val="000000" w:themeColor="text1"/>
          <w:sz w:val="24"/>
          <w:szCs w:val="24"/>
        </w:rPr>
        <w:t xml:space="preserve"> despite the selection and recommendation of suitable candidates for appointment</w:t>
      </w:r>
      <w:r w:rsidR="00092EAF">
        <w:rPr>
          <w:rFonts w:ascii="Century Schoolbook" w:hAnsi="Century Schoolbook" w:cs="Arial"/>
          <w:color w:val="000000" w:themeColor="text1"/>
          <w:sz w:val="24"/>
          <w:szCs w:val="24"/>
        </w:rPr>
        <w:t xml:space="preserve"> </w:t>
      </w:r>
      <w:r w:rsidR="00302204">
        <w:rPr>
          <w:rFonts w:ascii="Century Schoolbook" w:hAnsi="Century Schoolbook" w:cs="Arial"/>
          <w:color w:val="000000" w:themeColor="text1"/>
          <w:sz w:val="24"/>
          <w:szCs w:val="24"/>
        </w:rPr>
        <w:t xml:space="preserve">to them </w:t>
      </w:r>
      <w:r w:rsidR="00092EAF">
        <w:rPr>
          <w:rFonts w:ascii="Century Schoolbook" w:hAnsi="Century Schoolbook" w:cs="Arial"/>
          <w:color w:val="000000" w:themeColor="text1"/>
          <w:sz w:val="24"/>
          <w:szCs w:val="24"/>
        </w:rPr>
        <w:t>in November 2009</w:t>
      </w:r>
      <w:r w:rsidR="00092EAF">
        <w:rPr>
          <w:rStyle w:val="FootnoteReference"/>
          <w:rFonts w:ascii="Century Schoolbook" w:hAnsi="Century Schoolbook" w:cs="Arial"/>
          <w:color w:val="000000" w:themeColor="text1"/>
          <w:sz w:val="24"/>
          <w:szCs w:val="24"/>
        </w:rPr>
        <w:footnoteReference w:id="179"/>
      </w:r>
      <w:r w:rsidR="00092EAF">
        <w:rPr>
          <w:rFonts w:ascii="Century Schoolbook" w:hAnsi="Century Schoolbook" w:cs="Arial"/>
          <w:color w:val="000000" w:themeColor="text1"/>
          <w:sz w:val="24"/>
          <w:szCs w:val="24"/>
        </w:rPr>
        <w:t xml:space="preserve"> and May 2010</w:t>
      </w:r>
      <w:r w:rsidRPr="004A1FFC">
        <w:rPr>
          <w:rFonts w:ascii="Century Schoolbook" w:hAnsi="Century Schoolbook" w:cs="Arial"/>
          <w:color w:val="000000" w:themeColor="text1"/>
          <w:sz w:val="24"/>
          <w:szCs w:val="24"/>
        </w:rPr>
        <w:t>.</w:t>
      </w:r>
      <w:r w:rsidR="00092EAF">
        <w:rPr>
          <w:rStyle w:val="FootnoteReference"/>
          <w:rFonts w:ascii="Century Schoolbook" w:hAnsi="Century Schoolbook" w:cs="Arial"/>
          <w:color w:val="000000" w:themeColor="text1"/>
          <w:sz w:val="24"/>
          <w:szCs w:val="24"/>
        </w:rPr>
        <w:footnoteReference w:id="180"/>
      </w:r>
      <w:r w:rsidRPr="004A1FFC">
        <w:rPr>
          <w:rFonts w:ascii="Century Schoolbook" w:hAnsi="Century Schoolbook" w:cs="Arial"/>
          <w:color w:val="000000" w:themeColor="text1"/>
          <w:sz w:val="24"/>
          <w:szCs w:val="24"/>
        </w:rPr>
        <w:t xml:space="preserve"> To the contrary, </w:t>
      </w:r>
      <w:r w:rsidR="00871064">
        <w:rPr>
          <w:rFonts w:ascii="Century Schoolbook" w:hAnsi="Century Schoolbook" w:cs="Arial"/>
          <w:color w:val="000000" w:themeColor="text1"/>
          <w:sz w:val="24"/>
          <w:szCs w:val="24"/>
        </w:rPr>
        <w:t xml:space="preserve">full well aware that the posts hadn’t been filled, </w:t>
      </w:r>
      <w:r w:rsidR="00E97592">
        <w:rPr>
          <w:rFonts w:ascii="Century Schoolbook" w:hAnsi="Century Schoolbook" w:cs="Arial"/>
          <w:color w:val="000000" w:themeColor="text1"/>
          <w:sz w:val="24"/>
          <w:szCs w:val="24"/>
        </w:rPr>
        <w:t xml:space="preserve">and in a fraud on the Board, and hence a ‘material irregularity’, </w:t>
      </w:r>
      <w:r w:rsidRPr="004A1FFC">
        <w:rPr>
          <w:rFonts w:ascii="Century Schoolbook" w:hAnsi="Century Schoolbook" w:cs="Arial"/>
          <w:color w:val="000000" w:themeColor="text1"/>
          <w:sz w:val="24"/>
          <w:szCs w:val="24"/>
        </w:rPr>
        <w:t xml:space="preserve">Clark </w:t>
      </w:r>
      <w:r w:rsidR="005618B0">
        <w:rPr>
          <w:rFonts w:ascii="Century Schoolbook" w:hAnsi="Century Schoolbook" w:cs="Arial"/>
          <w:color w:val="000000" w:themeColor="text1"/>
          <w:sz w:val="24"/>
          <w:szCs w:val="24"/>
        </w:rPr>
        <w:t xml:space="preserve">deliberately falsely </w:t>
      </w:r>
      <w:r w:rsidRPr="004A1FFC">
        <w:rPr>
          <w:rFonts w:ascii="Century Schoolbook" w:hAnsi="Century Schoolbook" w:cs="Arial"/>
          <w:color w:val="000000" w:themeColor="text1"/>
          <w:sz w:val="24"/>
          <w:szCs w:val="24"/>
        </w:rPr>
        <w:t>claimed: ‘No longstanding vacancies’.</w:t>
      </w:r>
      <w:r w:rsidRPr="004A1FFC">
        <w:rPr>
          <w:rStyle w:val="FootnoteReference"/>
          <w:rFonts w:ascii="Century Schoolbook" w:hAnsi="Century Schoolbook" w:cs="Arial"/>
          <w:color w:val="000000" w:themeColor="text1"/>
          <w:sz w:val="24"/>
          <w:szCs w:val="24"/>
        </w:rPr>
        <w:footnoteReference w:id="181"/>
      </w:r>
    </w:p>
    <w:p w:rsidR="00AB2BE9" w:rsidRDefault="00AB2BE9" w:rsidP="00B01397">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sidRPr="00AB2BE9">
        <w:rPr>
          <w:rFonts w:ascii="Century Schoolbook" w:hAnsi="Century Schoolbook" w:cs="Times New Roman"/>
          <w:sz w:val="24"/>
          <w:szCs w:val="24"/>
        </w:rPr>
        <w:t xml:space="preserve">Profoundly aggravating </w:t>
      </w:r>
      <w:r w:rsidR="0060789C" w:rsidRPr="00AB2BE9">
        <w:rPr>
          <w:rFonts w:ascii="Century Schoolbook" w:hAnsi="Century Schoolbook" w:cs="Times New Roman"/>
          <w:sz w:val="24"/>
          <w:szCs w:val="24"/>
        </w:rPr>
        <w:t>Mlambo JP</w:t>
      </w:r>
      <w:r w:rsidR="00D6075E" w:rsidRPr="00AB2BE9">
        <w:rPr>
          <w:rFonts w:ascii="Century Schoolbook" w:hAnsi="Century Schoolbook" w:cs="Times New Roman"/>
          <w:sz w:val="24"/>
          <w:szCs w:val="24"/>
        </w:rPr>
        <w:t>’s</w:t>
      </w:r>
      <w:r w:rsidR="00D34E6C">
        <w:rPr>
          <w:rFonts w:ascii="Century Schoolbook" w:hAnsi="Century Schoolbook" w:cs="Times New Roman"/>
          <w:sz w:val="24"/>
          <w:szCs w:val="24"/>
        </w:rPr>
        <w:t xml:space="preserve"> and</w:t>
      </w:r>
      <w:r w:rsidR="00D6075E" w:rsidRPr="00AB2BE9">
        <w:rPr>
          <w:rFonts w:ascii="Century Schoolbook" w:hAnsi="Century Schoolbook" w:cs="Times New Roman"/>
          <w:sz w:val="24"/>
          <w:szCs w:val="24"/>
        </w:rPr>
        <w:t xml:space="preserve"> </w:t>
      </w:r>
      <w:r w:rsidR="0060789C" w:rsidRPr="00AB2BE9">
        <w:rPr>
          <w:rFonts w:ascii="Century Schoolbook" w:hAnsi="Century Schoolbook" w:cs="Times New Roman"/>
          <w:sz w:val="24"/>
          <w:szCs w:val="24"/>
        </w:rPr>
        <w:t xml:space="preserve">the Board’s and CEO </w:t>
      </w:r>
      <w:r w:rsidR="002E3F2E" w:rsidRPr="00AB2BE9">
        <w:rPr>
          <w:rFonts w:ascii="Century Schoolbook" w:hAnsi="Century Schoolbook" w:cs="Times New Roman"/>
          <w:sz w:val="24"/>
          <w:szCs w:val="24"/>
        </w:rPr>
        <w:t>Vedalankar’s crim</w:t>
      </w:r>
      <w:r w:rsidR="00070663" w:rsidRPr="00AB2BE9">
        <w:rPr>
          <w:rFonts w:ascii="Century Schoolbook" w:hAnsi="Century Schoolbook" w:cs="Times New Roman"/>
          <w:sz w:val="24"/>
          <w:szCs w:val="24"/>
        </w:rPr>
        <w:t xml:space="preserve">inal contraventions of the PFMA and </w:t>
      </w:r>
      <w:r w:rsidR="000119FA">
        <w:rPr>
          <w:rFonts w:ascii="Century Schoolbook" w:hAnsi="Century Schoolbook" w:cs="Times New Roman"/>
          <w:sz w:val="24"/>
          <w:szCs w:val="24"/>
        </w:rPr>
        <w:t xml:space="preserve">of </w:t>
      </w:r>
      <w:r w:rsidRPr="00AB2BE9">
        <w:rPr>
          <w:rFonts w:ascii="Century Schoolbook" w:hAnsi="Century Schoolbook" w:cs="Times New Roman"/>
          <w:sz w:val="24"/>
          <w:szCs w:val="24"/>
        </w:rPr>
        <w:t xml:space="preserve">the </w:t>
      </w:r>
      <w:r w:rsidR="00391EC1">
        <w:rPr>
          <w:rFonts w:ascii="Century Schoolbook" w:hAnsi="Century Schoolbook"/>
          <w:sz w:val="24"/>
          <w:szCs w:val="24"/>
        </w:rPr>
        <w:t>Powers, Privileges and Immunities Act</w:t>
      </w:r>
      <w:r w:rsidR="00B80089">
        <w:rPr>
          <w:rFonts w:ascii="Century Schoolbook" w:hAnsi="Century Schoolbook"/>
          <w:sz w:val="24"/>
          <w:szCs w:val="24"/>
        </w:rPr>
        <w:t xml:space="preserve"> </w:t>
      </w:r>
      <w:r w:rsidR="00B80089" w:rsidRPr="00AB2BE9">
        <w:rPr>
          <w:rFonts w:ascii="Century Schoolbook" w:hAnsi="Century Schoolbook" w:cs="Times New Roman"/>
          <w:sz w:val="24"/>
          <w:szCs w:val="24"/>
        </w:rPr>
        <w:t xml:space="preserve">in </w:t>
      </w:r>
      <w:r w:rsidR="00E840C2">
        <w:rPr>
          <w:rFonts w:ascii="Century Schoolbook" w:hAnsi="Century Schoolbook" w:cs="Times New Roman"/>
          <w:sz w:val="24"/>
          <w:szCs w:val="24"/>
        </w:rPr>
        <w:t>their and their colleagues’</w:t>
      </w:r>
      <w:r w:rsidR="00B80089">
        <w:rPr>
          <w:rFonts w:ascii="Century Schoolbook" w:hAnsi="Century Schoolbook" w:cs="Times New Roman"/>
          <w:sz w:val="24"/>
          <w:szCs w:val="24"/>
        </w:rPr>
        <w:t xml:space="preserve"> </w:t>
      </w:r>
      <w:r w:rsidR="00287C59">
        <w:rPr>
          <w:rFonts w:ascii="Century Schoolbook" w:hAnsi="Century Schoolbook" w:cs="Times New Roman"/>
          <w:sz w:val="24"/>
          <w:szCs w:val="24"/>
        </w:rPr>
        <w:t xml:space="preserve">fraudulent </w:t>
      </w:r>
      <w:r w:rsidR="00B80089">
        <w:rPr>
          <w:rFonts w:ascii="Century Schoolbook" w:hAnsi="Century Schoolbook" w:cs="Times New Roman"/>
          <w:sz w:val="24"/>
          <w:szCs w:val="24"/>
        </w:rPr>
        <w:t>cover-up</w:t>
      </w:r>
      <w:r w:rsidR="00B80089" w:rsidRPr="00AB2BE9">
        <w:rPr>
          <w:rFonts w:ascii="Century Schoolbook" w:hAnsi="Century Schoolbook" w:cs="Times New Roman"/>
          <w:sz w:val="24"/>
          <w:szCs w:val="24"/>
        </w:rPr>
        <w:t xml:space="preserve"> </w:t>
      </w:r>
      <w:r w:rsidR="00B80089">
        <w:rPr>
          <w:rFonts w:ascii="Century Schoolbook" w:hAnsi="Century Schoolbook" w:cs="Times New Roman"/>
          <w:sz w:val="24"/>
          <w:szCs w:val="24"/>
        </w:rPr>
        <w:t xml:space="preserve">of </w:t>
      </w:r>
      <w:r w:rsidR="00B80089" w:rsidRPr="00AB2BE9">
        <w:rPr>
          <w:rFonts w:ascii="Century Schoolbook" w:hAnsi="Century Schoolbook" w:cs="Times New Roman"/>
          <w:sz w:val="24"/>
          <w:szCs w:val="24"/>
        </w:rPr>
        <w:t>ethical recruitment corruption (jobs for pals) gone wrong</w:t>
      </w:r>
      <w:r w:rsidR="00B80089">
        <w:rPr>
          <w:rFonts w:ascii="Century Schoolbook" w:hAnsi="Century Schoolbook" w:cs="Times New Roman"/>
          <w:sz w:val="24"/>
          <w:szCs w:val="24"/>
        </w:rPr>
        <w:t>,</w:t>
      </w:r>
      <w:r w:rsidR="007864BA">
        <w:rPr>
          <w:rStyle w:val="FootnoteReference"/>
          <w:rFonts w:ascii="Century Schoolbook" w:hAnsi="Century Schoolbook" w:cs="Times New Roman"/>
          <w:sz w:val="24"/>
          <w:szCs w:val="24"/>
        </w:rPr>
        <w:footnoteReference w:id="182"/>
      </w:r>
      <w:r w:rsidR="002E3F2E" w:rsidRPr="00AB2BE9">
        <w:rPr>
          <w:rFonts w:ascii="Century Schoolbook" w:hAnsi="Century Schoolbook" w:cs="Times New Roman"/>
          <w:sz w:val="24"/>
          <w:szCs w:val="24"/>
        </w:rPr>
        <w:t xml:space="preserve"> </w:t>
      </w:r>
      <w:r w:rsidRPr="00AB2BE9">
        <w:rPr>
          <w:rFonts w:ascii="Century Schoolbook" w:hAnsi="Century Schoolbook" w:cs="Times New Roman"/>
          <w:sz w:val="24"/>
          <w:szCs w:val="24"/>
        </w:rPr>
        <w:t xml:space="preserve">is </w:t>
      </w:r>
      <w:r w:rsidR="0060789C" w:rsidRPr="00AB2BE9">
        <w:rPr>
          <w:rFonts w:ascii="Century Schoolbook" w:hAnsi="Century Schoolbook" w:cs="Times New Roman"/>
          <w:sz w:val="24"/>
          <w:szCs w:val="24"/>
        </w:rPr>
        <w:t>their</w:t>
      </w:r>
      <w:r w:rsidR="002E3F2E" w:rsidRPr="00AB2BE9">
        <w:rPr>
          <w:rFonts w:ascii="Century Schoolbook" w:hAnsi="Century Schoolbook" w:cs="Times New Roman"/>
          <w:sz w:val="24"/>
          <w:szCs w:val="24"/>
        </w:rPr>
        <w:t xml:space="preserve"> </w:t>
      </w:r>
      <w:r w:rsidR="00900EE9" w:rsidRPr="00AB2BE9">
        <w:rPr>
          <w:rFonts w:ascii="Century Schoolbook" w:hAnsi="Century Schoolbook" w:cs="Times New Roman"/>
          <w:sz w:val="24"/>
          <w:szCs w:val="24"/>
        </w:rPr>
        <w:t xml:space="preserve">corrupt motive for </w:t>
      </w:r>
      <w:r w:rsidR="00D6075E" w:rsidRPr="00AB2BE9">
        <w:rPr>
          <w:rFonts w:ascii="Century Schoolbook" w:hAnsi="Century Schoolbook" w:cs="Times New Roman"/>
          <w:sz w:val="24"/>
          <w:szCs w:val="24"/>
        </w:rPr>
        <w:t xml:space="preserve">dishonestly </w:t>
      </w:r>
      <w:r w:rsidR="00900EE9" w:rsidRPr="00AB2BE9">
        <w:rPr>
          <w:rFonts w:ascii="Century Schoolbook" w:hAnsi="Century Schoolbook" w:cs="Times New Roman"/>
          <w:sz w:val="24"/>
          <w:szCs w:val="24"/>
        </w:rPr>
        <w:t>misleading the Portfolio Committee</w:t>
      </w:r>
      <w:r w:rsidR="0097042D" w:rsidRPr="00AB2BE9">
        <w:rPr>
          <w:rFonts w:ascii="Century Schoolbook" w:hAnsi="Century Schoolbook" w:cs="Times New Roman"/>
          <w:sz w:val="24"/>
          <w:szCs w:val="24"/>
        </w:rPr>
        <w:t xml:space="preserve"> in their reports</w:t>
      </w:r>
      <w:r w:rsidR="00900EE9" w:rsidRPr="00AB2BE9">
        <w:rPr>
          <w:rFonts w:ascii="Century Schoolbook" w:hAnsi="Century Schoolbook" w:cs="Times New Roman"/>
          <w:sz w:val="24"/>
          <w:szCs w:val="24"/>
        </w:rPr>
        <w:t xml:space="preserve">, namely to frustrate and defeat the National Assembly’s </w:t>
      </w:r>
      <w:r w:rsidRPr="00AB2BE9">
        <w:rPr>
          <w:rFonts w:ascii="Century Schoolbook" w:hAnsi="Century Schoolbook" w:cs="Times New Roman"/>
          <w:sz w:val="24"/>
          <w:szCs w:val="24"/>
        </w:rPr>
        <w:t xml:space="preserve">constitutional oversight </w:t>
      </w:r>
      <w:r w:rsidR="00900EE9" w:rsidRPr="00AB2BE9">
        <w:rPr>
          <w:rFonts w:ascii="Century Schoolbook" w:hAnsi="Century Schoolbook" w:cs="Times New Roman"/>
          <w:sz w:val="24"/>
          <w:szCs w:val="24"/>
        </w:rPr>
        <w:t>responsibility</w:t>
      </w:r>
      <w:r w:rsidR="00F232B2" w:rsidRPr="00AB2BE9">
        <w:rPr>
          <w:rFonts w:ascii="Century Schoolbook" w:hAnsi="Century Schoolbook" w:cs="Times New Roman"/>
          <w:sz w:val="24"/>
          <w:szCs w:val="24"/>
        </w:rPr>
        <w:t xml:space="preserve"> imposed by section 55(2)(b)(ii) of the Constitution</w:t>
      </w:r>
      <w:r w:rsidR="00900EE9" w:rsidRPr="00AB2BE9">
        <w:rPr>
          <w:rFonts w:ascii="Century Schoolbook" w:hAnsi="Century Schoolbook" w:cs="Times New Roman"/>
          <w:sz w:val="24"/>
          <w:szCs w:val="24"/>
        </w:rPr>
        <w:t xml:space="preserve"> </w:t>
      </w:r>
      <w:r w:rsidR="00F232B2" w:rsidRPr="00AB2BE9">
        <w:rPr>
          <w:rFonts w:ascii="Century Schoolbook" w:hAnsi="Century Schoolbook" w:cs="Times New Roman"/>
          <w:sz w:val="24"/>
          <w:szCs w:val="24"/>
        </w:rPr>
        <w:t>‘to maintain oversight of ... organ[s] of state’ like LASA</w:t>
      </w:r>
      <w:r w:rsidR="0097042D" w:rsidRPr="00AB2BE9">
        <w:rPr>
          <w:rFonts w:ascii="Century Schoolbook" w:hAnsi="Century Schoolbook" w:cs="Times New Roman"/>
          <w:sz w:val="24"/>
          <w:szCs w:val="24"/>
        </w:rPr>
        <w:t>,</w:t>
      </w:r>
      <w:r w:rsidR="007E1EDF" w:rsidRPr="00AB2BE9">
        <w:rPr>
          <w:rFonts w:ascii="Century Schoolbook" w:hAnsi="Century Schoolbook" w:cs="Times New Roman"/>
          <w:sz w:val="24"/>
          <w:szCs w:val="24"/>
        </w:rPr>
        <w:t xml:space="preserve"> and </w:t>
      </w:r>
      <w:r w:rsidR="00C57E69">
        <w:rPr>
          <w:rFonts w:ascii="Century Schoolbook" w:hAnsi="Century Schoolbook" w:cs="Times New Roman"/>
          <w:sz w:val="24"/>
          <w:szCs w:val="24"/>
        </w:rPr>
        <w:t xml:space="preserve">to </w:t>
      </w:r>
      <w:r w:rsidR="007E1EDF" w:rsidRPr="00AB2BE9">
        <w:rPr>
          <w:rFonts w:ascii="Century Schoolbook" w:hAnsi="Century Schoolbook" w:cs="Times New Roman"/>
          <w:sz w:val="24"/>
          <w:szCs w:val="24"/>
        </w:rPr>
        <w:t xml:space="preserve">prevent </w:t>
      </w:r>
      <w:r w:rsidR="00C57E69">
        <w:rPr>
          <w:rFonts w:ascii="Century Schoolbook" w:hAnsi="Century Schoolbook" w:cs="Times New Roman"/>
          <w:sz w:val="24"/>
          <w:szCs w:val="24"/>
        </w:rPr>
        <w:t>the National Assembly</w:t>
      </w:r>
      <w:r w:rsidR="007E1EDF" w:rsidRPr="00AB2BE9">
        <w:rPr>
          <w:rFonts w:ascii="Century Schoolbook" w:hAnsi="Century Schoolbook" w:cs="Times New Roman"/>
          <w:sz w:val="24"/>
          <w:szCs w:val="24"/>
        </w:rPr>
        <w:t xml:space="preserve"> holding them to account for </w:t>
      </w:r>
      <w:r w:rsidR="00F0405D">
        <w:rPr>
          <w:rFonts w:ascii="Century Schoolbook" w:hAnsi="Century Schoolbook" w:cs="Times New Roman"/>
          <w:sz w:val="24"/>
          <w:szCs w:val="24"/>
        </w:rPr>
        <w:t>unlawfully</w:t>
      </w:r>
      <w:r w:rsidR="007E1EDF" w:rsidRPr="00AB2BE9">
        <w:rPr>
          <w:rFonts w:ascii="Century Schoolbook" w:hAnsi="Century Schoolbook" w:cs="Times New Roman"/>
          <w:sz w:val="24"/>
          <w:szCs w:val="24"/>
        </w:rPr>
        <w:t xml:space="preserve"> </w:t>
      </w:r>
      <w:r w:rsidR="00C57E69">
        <w:rPr>
          <w:rFonts w:ascii="Century Schoolbook" w:hAnsi="Century Schoolbook" w:cs="Times New Roman"/>
          <w:sz w:val="24"/>
          <w:szCs w:val="24"/>
        </w:rPr>
        <w:t xml:space="preserve">deliberately </w:t>
      </w:r>
      <w:r w:rsidR="00070663" w:rsidRPr="00AB2BE9">
        <w:rPr>
          <w:rFonts w:ascii="Century Schoolbook" w:hAnsi="Century Schoolbook" w:cs="Times New Roman"/>
          <w:sz w:val="24"/>
          <w:szCs w:val="24"/>
        </w:rPr>
        <w:t>not filling LASA’s three remaining Senior Litigator posts at Pietermaritzburg, Durban and Mthatha</w:t>
      </w:r>
      <w:r w:rsidR="00B80089">
        <w:rPr>
          <w:rFonts w:ascii="Century Schoolbook" w:hAnsi="Century Schoolbook" w:cs="Times New Roman"/>
          <w:sz w:val="24"/>
          <w:szCs w:val="24"/>
        </w:rPr>
        <w:t>:</w:t>
      </w:r>
      <w:r w:rsidR="00092EAF">
        <w:rPr>
          <w:rFonts w:ascii="Century Schoolbook" w:hAnsi="Century Schoolbook" w:cs="Times New Roman"/>
          <w:sz w:val="24"/>
          <w:szCs w:val="24"/>
        </w:rPr>
        <w:t xml:space="preserve"> (i)</w:t>
      </w:r>
      <w:r w:rsidR="00070663" w:rsidRPr="00AB2BE9">
        <w:rPr>
          <w:rFonts w:ascii="Century Schoolbook" w:hAnsi="Century Schoolbook" w:cs="Times New Roman"/>
          <w:sz w:val="24"/>
          <w:szCs w:val="24"/>
        </w:rPr>
        <w:t xml:space="preserve"> in contravention of the PFMA</w:t>
      </w:r>
      <w:r w:rsidR="00B80089">
        <w:rPr>
          <w:rFonts w:ascii="Century Schoolbook" w:hAnsi="Century Schoolbook" w:cs="Times New Roman"/>
          <w:sz w:val="24"/>
          <w:szCs w:val="24"/>
        </w:rPr>
        <w:t>;</w:t>
      </w:r>
      <w:r w:rsidR="006743F9">
        <w:rPr>
          <w:rFonts w:ascii="Century Schoolbook" w:hAnsi="Century Schoolbook" w:cs="Times New Roman"/>
          <w:sz w:val="24"/>
          <w:szCs w:val="24"/>
        </w:rPr>
        <w:t xml:space="preserve"> </w:t>
      </w:r>
      <w:r w:rsidR="00092EAF">
        <w:rPr>
          <w:rFonts w:ascii="Century Schoolbook" w:hAnsi="Century Schoolbook" w:cs="Times New Roman"/>
          <w:sz w:val="24"/>
          <w:szCs w:val="24"/>
        </w:rPr>
        <w:t xml:space="preserve">(ii) </w:t>
      </w:r>
      <w:r w:rsidR="006743F9">
        <w:rPr>
          <w:rFonts w:ascii="Century Schoolbook" w:hAnsi="Century Schoolbook" w:cs="Times New Roman"/>
          <w:sz w:val="24"/>
          <w:szCs w:val="24"/>
        </w:rPr>
        <w:t xml:space="preserve">in an illegal unauthorised deviation from </w:t>
      </w:r>
      <w:r w:rsidR="005618B0">
        <w:rPr>
          <w:rFonts w:ascii="Century Schoolbook" w:hAnsi="Century Schoolbook" w:cs="Times New Roman"/>
          <w:sz w:val="24"/>
          <w:szCs w:val="24"/>
        </w:rPr>
        <w:t xml:space="preserve">LASA’s </w:t>
      </w:r>
      <w:r w:rsidR="006743F9">
        <w:rPr>
          <w:rFonts w:ascii="Century Schoolbook" w:hAnsi="Century Schoolbook" w:cs="Times New Roman"/>
          <w:sz w:val="24"/>
          <w:szCs w:val="24"/>
        </w:rPr>
        <w:t>Strategic Plan 2009–12 and Business Plan</w:t>
      </w:r>
      <w:r w:rsidR="00B80089">
        <w:rPr>
          <w:rFonts w:ascii="Century Schoolbook" w:hAnsi="Century Schoolbook" w:cs="Times New Roman"/>
          <w:sz w:val="24"/>
          <w:szCs w:val="24"/>
        </w:rPr>
        <w:t>s</w:t>
      </w:r>
      <w:r w:rsidR="006743F9">
        <w:rPr>
          <w:rFonts w:ascii="Century Schoolbook" w:hAnsi="Century Schoolbook" w:cs="Times New Roman"/>
          <w:sz w:val="24"/>
          <w:szCs w:val="24"/>
        </w:rPr>
        <w:t xml:space="preserve"> based on it</w:t>
      </w:r>
      <w:r w:rsidR="00B80089">
        <w:rPr>
          <w:rFonts w:ascii="Century Schoolbook" w:hAnsi="Century Schoolbook" w:cs="Times New Roman"/>
          <w:sz w:val="24"/>
          <w:szCs w:val="24"/>
        </w:rPr>
        <w:t>;</w:t>
      </w:r>
      <w:r w:rsidR="006743F9">
        <w:rPr>
          <w:rFonts w:ascii="Century Schoolbook" w:hAnsi="Century Schoolbook" w:cs="Times New Roman"/>
          <w:sz w:val="24"/>
          <w:szCs w:val="24"/>
        </w:rPr>
        <w:t xml:space="preserve"> and </w:t>
      </w:r>
      <w:r w:rsidR="00092EAF">
        <w:rPr>
          <w:rFonts w:ascii="Century Schoolbook" w:hAnsi="Century Schoolbook" w:cs="Times New Roman"/>
          <w:sz w:val="24"/>
          <w:szCs w:val="24"/>
        </w:rPr>
        <w:t xml:space="preserve">(iii) </w:t>
      </w:r>
      <w:r w:rsidR="00B80089">
        <w:rPr>
          <w:rFonts w:ascii="Century Schoolbook" w:hAnsi="Century Schoolbook" w:cs="Times New Roman"/>
          <w:sz w:val="24"/>
          <w:szCs w:val="24"/>
        </w:rPr>
        <w:t>i</w:t>
      </w:r>
      <w:r w:rsidR="006743F9">
        <w:rPr>
          <w:rFonts w:ascii="Century Schoolbook" w:hAnsi="Century Schoolbook" w:cs="Times New Roman"/>
          <w:sz w:val="24"/>
          <w:szCs w:val="24"/>
        </w:rPr>
        <w:t>n contempt</w:t>
      </w:r>
      <w:r w:rsidR="007864BA">
        <w:rPr>
          <w:rFonts w:ascii="Century Schoolbook" w:hAnsi="Century Schoolbook" w:cs="Times New Roman"/>
          <w:sz w:val="24"/>
          <w:szCs w:val="24"/>
        </w:rPr>
        <w:t>uous disregard for</w:t>
      </w:r>
      <w:r w:rsidR="006743F9">
        <w:rPr>
          <w:rFonts w:ascii="Century Schoolbook" w:hAnsi="Century Schoolbook" w:cs="Times New Roman"/>
          <w:sz w:val="24"/>
          <w:szCs w:val="24"/>
        </w:rPr>
        <w:t xml:space="preserve"> </w:t>
      </w:r>
      <w:r w:rsidR="007864BA">
        <w:rPr>
          <w:rFonts w:ascii="Century Schoolbook" w:hAnsi="Century Schoolbook" w:cs="Times New Roman"/>
          <w:sz w:val="24"/>
          <w:szCs w:val="24"/>
        </w:rPr>
        <w:t xml:space="preserve">both </w:t>
      </w:r>
      <w:r w:rsidR="006743F9">
        <w:rPr>
          <w:rFonts w:ascii="Century Schoolbook" w:hAnsi="Century Schoolbook" w:cs="Times New Roman"/>
          <w:sz w:val="24"/>
          <w:szCs w:val="24"/>
        </w:rPr>
        <w:t xml:space="preserve">the </w:t>
      </w:r>
      <w:r w:rsidR="007864BA">
        <w:rPr>
          <w:rFonts w:ascii="Century Schoolbook" w:hAnsi="Century Schoolbook" w:cs="Times New Roman"/>
          <w:sz w:val="24"/>
          <w:szCs w:val="24"/>
        </w:rPr>
        <w:t xml:space="preserve">Minister’s and the </w:t>
      </w:r>
      <w:r w:rsidR="006743F9">
        <w:rPr>
          <w:rFonts w:ascii="Century Schoolbook" w:hAnsi="Century Schoolbook" w:cs="Times New Roman"/>
          <w:sz w:val="24"/>
          <w:szCs w:val="24"/>
        </w:rPr>
        <w:t>Portfolio Committee’s express wis</w:t>
      </w:r>
      <w:r w:rsidR="00B80089">
        <w:rPr>
          <w:rFonts w:ascii="Century Schoolbook" w:hAnsi="Century Schoolbook" w:cs="Times New Roman"/>
          <w:sz w:val="24"/>
          <w:szCs w:val="24"/>
        </w:rPr>
        <w:t xml:space="preserve">hes that LASA fill its </w:t>
      </w:r>
      <w:r w:rsidR="007864BA">
        <w:rPr>
          <w:rFonts w:ascii="Century Schoolbook" w:hAnsi="Century Schoolbook" w:cs="Times New Roman"/>
          <w:sz w:val="24"/>
          <w:szCs w:val="24"/>
        </w:rPr>
        <w:t xml:space="preserve">vacant </w:t>
      </w:r>
      <w:r w:rsidR="00B80089">
        <w:rPr>
          <w:rFonts w:ascii="Century Schoolbook" w:hAnsi="Century Schoolbook" w:cs="Times New Roman"/>
          <w:sz w:val="24"/>
          <w:szCs w:val="24"/>
        </w:rPr>
        <w:t xml:space="preserve">posts, especially critical posts, and that LASA hire Senior Litigators to ensure </w:t>
      </w:r>
      <w:r w:rsidR="00092EAF">
        <w:rPr>
          <w:rFonts w:ascii="Century Schoolbook" w:hAnsi="Century Schoolbook" w:cs="Times New Roman"/>
          <w:sz w:val="24"/>
          <w:szCs w:val="24"/>
        </w:rPr>
        <w:t xml:space="preserve">that </w:t>
      </w:r>
      <w:r w:rsidR="00B80089">
        <w:rPr>
          <w:rFonts w:ascii="Century Schoolbook" w:hAnsi="Century Schoolbook" w:cs="Times New Roman"/>
          <w:sz w:val="24"/>
          <w:szCs w:val="24"/>
        </w:rPr>
        <w:t xml:space="preserve">the indigent have access to specialist litigation </w:t>
      </w:r>
      <w:r w:rsidR="00991D12">
        <w:rPr>
          <w:rFonts w:ascii="Century Schoolbook" w:hAnsi="Century Schoolbook" w:cs="Times New Roman"/>
          <w:sz w:val="24"/>
          <w:szCs w:val="24"/>
        </w:rPr>
        <w:t xml:space="preserve">expertise and </w:t>
      </w:r>
      <w:r w:rsidR="007864BA">
        <w:rPr>
          <w:rFonts w:ascii="Century Schoolbook" w:hAnsi="Century Schoolbook" w:cs="Times New Roman"/>
          <w:sz w:val="24"/>
          <w:szCs w:val="24"/>
        </w:rPr>
        <w:t xml:space="preserve">that </w:t>
      </w:r>
      <w:r w:rsidR="00991D12">
        <w:rPr>
          <w:rFonts w:ascii="Century Schoolbook" w:hAnsi="Century Schoolbook" w:cs="Times New Roman"/>
          <w:sz w:val="24"/>
          <w:szCs w:val="24"/>
        </w:rPr>
        <w:t xml:space="preserve">LASA’s lawyers have experienced </w:t>
      </w:r>
      <w:r w:rsidR="00092EAF">
        <w:rPr>
          <w:rFonts w:ascii="Century Schoolbook" w:hAnsi="Century Schoolbook" w:cs="Times New Roman"/>
          <w:sz w:val="24"/>
          <w:szCs w:val="24"/>
        </w:rPr>
        <w:t xml:space="preserve">litigation </w:t>
      </w:r>
      <w:r w:rsidR="00991D12">
        <w:rPr>
          <w:rFonts w:ascii="Century Schoolbook" w:hAnsi="Century Schoolbook" w:cs="Times New Roman"/>
          <w:sz w:val="24"/>
          <w:szCs w:val="24"/>
        </w:rPr>
        <w:t>lawyers to mentor them.</w:t>
      </w:r>
      <w:r w:rsidRPr="00AB2BE9">
        <w:rPr>
          <w:rFonts w:ascii="Century Schoolbook" w:hAnsi="Century Schoolbook" w:cs="Times New Roman"/>
          <w:sz w:val="24"/>
          <w:szCs w:val="24"/>
        </w:rPr>
        <w:t xml:space="preserve"> </w:t>
      </w:r>
    </w:p>
    <w:p w:rsidR="00B01397" w:rsidRDefault="00991D12" w:rsidP="00B01397">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H</w:t>
      </w:r>
      <w:r w:rsidR="00AB2BE9">
        <w:rPr>
          <w:rFonts w:ascii="Century Schoolbook" w:hAnsi="Century Schoolbook" w:cs="Times New Roman"/>
          <w:sz w:val="24"/>
          <w:szCs w:val="24"/>
        </w:rPr>
        <w:t xml:space="preserve">ad </w:t>
      </w:r>
      <w:r w:rsidR="00C57E69">
        <w:rPr>
          <w:rFonts w:ascii="Century Schoolbook" w:hAnsi="Century Schoolbook" w:cs="Times New Roman"/>
          <w:sz w:val="24"/>
          <w:szCs w:val="24"/>
        </w:rPr>
        <w:t xml:space="preserve">chairperson </w:t>
      </w:r>
      <w:r w:rsidR="00AB2BE9" w:rsidRPr="00AB2BE9">
        <w:rPr>
          <w:rFonts w:ascii="Century Schoolbook" w:hAnsi="Century Schoolbook" w:cs="Times New Roman"/>
          <w:sz w:val="24"/>
          <w:szCs w:val="24"/>
        </w:rPr>
        <w:t>Mlambo JP</w:t>
      </w:r>
      <w:r w:rsidR="00D34E6C">
        <w:rPr>
          <w:rFonts w:ascii="Century Schoolbook" w:hAnsi="Century Schoolbook" w:cs="Times New Roman"/>
          <w:sz w:val="24"/>
          <w:szCs w:val="24"/>
        </w:rPr>
        <w:t xml:space="preserve"> and</w:t>
      </w:r>
      <w:r w:rsidR="00AB2BE9" w:rsidRPr="00AB2BE9">
        <w:rPr>
          <w:rFonts w:ascii="Century Schoolbook" w:hAnsi="Century Schoolbook" w:cs="Times New Roman"/>
          <w:sz w:val="24"/>
          <w:szCs w:val="24"/>
        </w:rPr>
        <w:t xml:space="preserve"> the Board and </w:t>
      </w:r>
      <w:r w:rsidR="00C57E69">
        <w:rPr>
          <w:rFonts w:ascii="Century Schoolbook" w:hAnsi="Century Schoolbook" w:cs="Times New Roman"/>
          <w:sz w:val="24"/>
          <w:szCs w:val="24"/>
        </w:rPr>
        <w:t xml:space="preserve">CEO </w:t>
      </w:r>
      <w:r w:rsidR="00AB2BE9" w:rsidRPr="00AB2BE9">
        <w:rPr>
          <w:rFonts w:ascii="Century Schoolbook" w:hAnsi="Century Schoolbook" w:cs="Times New Roman"/>
          <w:sz w:val="24"/>
          <w:szCs w:val="24"/>
        </w:rPr>
        <w:t xml:space="preserve">Vedalankar </w:t>
      </w:r>
      <w:r w:rsidR="00AB2BE9">
        <w:rPr>
          <w:rFonts w:ascii="Century Schoolbook" w:hAnsi="Century Schoolbook" w:cs="Times New Roman"/>
          <w:sz w:val="24"/>
          <w:szCs w:val="24"/>
        </w:rPr>
        <w:t xml:space="preserve">not </w:t>
      </w:r>
      <w:r w:rsidR="00AB2BE9" w:rsidRPr="00AB2BE9">
        <w:rPr>
          <w:rFonts w:ascii="Century Schoolbook" w:hAnsi="Century Schoolbook" w:cs="Times New Roman"/>
          <w:sz w:val="24"/>
          <w:szCs w:val="24"/>
        </w:rPr>
        <w:t>criminally deceiv</w:t>
      </w:r>
      <w:r w:rsidR="00AB2BE9">
        <w:rPr>
          <w:rFonts w:ascii="Century Schoolbook" w:hAnsi="Century Schoolbook" w:cs="Times New Roman"/>
          <w:sz w:val="24"/>
          <w:szCs w:val="24"/>
        </w:rPr>
        <w:t xml:space="preserve">ed and defrauded the Portfolio Committee it would have detected (i) their financial misconduct in unlawfully deliberately not filling LASA’s three </w:t>
      </w:r>
      <w:r w:rsidR="00CF4741">
        <w:rPr>
          <w:rFonts w:ascii="Century Schoolbook" w:hAnsi="Century Schoolbook" w:cs="Times New Roman"/>
          <w:sz w:val="24"/>
          <w:szCs w:val="24"/>
        </w:rPr>
        <w:t xml:space="preserve">remaining </w:t>
      </w:r>
      <w:r w:rsidR="00AB2BE9">
        <w:rPr>
          <w:rFonts w:ascii="Century Schoolbook" w:hAnsi="Century Schoolbook" w:cs="Times New Roman"/>
          <w:sz w:val="24"/>
          <w:szCs w:val="24"/>
        </w:rPr>
        <w:t>vacant</w:t>
      </w:r>
      <w:r w:rsidR="005618B0">
        <w:rPr>
          <w:rFonts w:ascii="Century Schoolbook" w:hAnsi="Century Schoolbook" w:cs="Times New Roman"/>
          <w:sz w:val="24"/>
          <w:szCs w:val="24"/>
        </w:rPr>
        <w:t>,</w:t>
      </w:r>
      <w:r w:rsidR="00AB2BE9">
        <w:rPr>
          <w:rFonts w:ascii="Century Schoolbook" w:hAnsi="Century Schoolbook" w:cs="Times New Roman"/>
          <w:sz w:val="24"/>
          <w:szCs w:val="24"/>
        </w:rPr>
        <w:t xml:space="preserve"> budgeted and funded Senior Litigator posts</w:t>
      </w:r>
      <w:r w:rsidR="00D34E6C">
        <w:rPr>
          <w:rFonts w:ascii="Century Schoolbook" w:hAnsi="Century Schoolbook" w:cs="Times New Roman"/>
          <w:sz w:val="24"/>
          <w:szCs w:val="24"/>
        </w:rPr>
        <w:t>,</w:t>
      </w:r>
      <w:r w:rsidR="00AB2BE9">
        <w:rPr>
          <w:rFonts w:ascii="Century Schoolbook" w:hAnsi="Century Schoolbook" w:cs="Times New Roman"/>
          <w:sz w:val="24"/>
          <w:szCs w:val="24"/>
        </w:rPr>
        <w:t xml:space="preserve"> </w:t>
      </w:r>
      <w:r w:rsidR="00010A15">
        <w:rPr>
          <w:rFonts w:ascii="Century Schoolbook" w:hAnsi="Century Schoolbook" w:cs="Times New Roman"/>
          <w:sz w:val="24"/>
          <w:szCs w:val="24"/>
        </w:rPr>
        <w:t xml:space="preserve">and </w:t>
      </w:r>
      <w:r w:rsidR="00010A15">
        <w:rPr>
          <w:rFonts w:ascii="Century Schoolbook" w:hAnsi="Century Schoolbook" w:cs="Times New Roman"/>
          <w:sz w:val="24"/>
          <w:szCs w:val="24"/>
        </w:rPr>
        <w:lastRenderedPageBreak/>
        <w:t>in not applying the budgeted revenue received for them to the employment of suitably senior lawyers</w:t>
      </w:r>
      <w:r w:rsidR="00F0405D">
        <w:rPr>
          <w:rFonts w:ascii="Century Schoolbook" w:hAnsi="Century Schoolbook" w:cs="Times New Roman"/>
          <w:sz w:val="24"/>
          <w:szCs w:val="24"/>
        </w:rPr>
        <w:t xml:space="preserve"> to fill them</w:t>
      </w:r>
      <w:r w:rsidR="00010A15">
        <w:rPr>
          <w:rFonts w:ascii="Century Schoolbook" w:hAnsi="Century Schoolbook" w:cs="Times New Roman"/>
          <w:sz w:val="24"/>
          <w:szCs w:val="24"/>
        </w:rPr>
        <w:t xml:space="preserve">, </w:t>
      </w:r>
      <w:r w:rsidR="00AB2BE9">
        <w:rPr>
          <w:rFonts w:ascii="Century Schoolbook" w:hAnsi="Century Schoolbook" w:cs="Times New Roman"/>
          <w:sz w:val="24"/>
          <w:szCs w:val="24"/>
        </w:rPr>
        <w:t xml:space="preserve">and (ii) the multitude of </w:t>
      </w:r>
      <w:r w:rsidR="00F0405D">
        <w:rPr>
          <w:rFonts w:ascii="Century Schoolbook" w:hAnsi="Century Schoolbook" w:cs="Times New Roman"/>
          <w:sz w:val="24"/>
          <w:szCs w:val="24"/>
        </w:rPr>
        <w:t xml:space="preserve">capital transgressions of the </w:t>
      </w:r>
      <w:r w:rsidR="005618B0">
        <w:rPr>
          <w:rFonts w:ascii="Century Schoolbook" w:hAnsi="Century Schoolbook" w:cs="Times New Roman"/>
          <w:sz w:val="24"/>
          <w:szCs w:val="24"/>
        </w:rPr>
        <w:t xml:space="preserve">PFMA </w:t>
      </w:r>
      <w:r w:rsidR="00AB2BE9">
        <w:rPr>
          <w:rFonts w:ascii="Century Schoolbook" w:hAnsi="Century Schoolbook" w:cs="Times New Roman"/>
          <w:sz w:val="24"/>
          <w:szCs w:val="24"/>
        </w:rPr>
        <w:t xml:space="preserve">committed in corruptly and illegally </w:t>
      </w:r>
      <w:r w:rsidR="00762D1B">
        <w:rPr>
          <w:rFonts w:ascii="Century Schoolbook" w:hAnsi="Century Schoolbook" w:cs="Times New Roman"/>
          <w:sz w:val="24"/>
          <w:szCs w:val="24"/>
        </w:rPr>
        <w:t>cancelling</w:t>
      </w:r>
      <w:r w:rsidR="001671BE">
        <w:rPr>
          <w:rFonts w:ascii="Century Schoolbook" w:hAnsi="Century Schoolbook" w:cs="Times New Roman"/>
          <w:sz w:val="24"/>
          <w:szCs w:val="24"/>
        </w:rPr>
        <w:t xml:space="preserve"> – </w:t>
      </w:r>
      <w:r w:rsidR="00AB2BE9">
        <w:rPr>
          <w:rFonts w:ascii="Century Schoolbook" w:hAnsi="Century Schoolbook" w:cs="Times New Roman"/>
          <w:sz w:val="24"/>
          <w:szCs w:val="24"/>
        </w:rPr>
        <w:t>off the record and without authority</w:t>
      </w:r>
      <w:r w:rsidR="001671BE">
        <w:rPr>
          <w:rFonts w:ascii="Century Schoolbook" w:hAnsi="Century Schoolbook" w:cs="Times New Roman"/>
          <w:sz w:val="24"/>
          <w:szCs w:val="24"/>
        </w:rPr>
        <w:t xml:space="preserve"> – </w:t>
      </w:r>
      <w:r w:rsidR="00AB2BE9">
        <w:rPr>
          <w:rFonts w:ascii="Century Schoolbook" w:hAnsi="Century Schoolbook" w:cs="Times New Roman"/>
          <w:sz w:val="24"/>
          <w:szCs w:val="24"/>
        </w:rPr>
        <w:t>the substantially completed Pietermaritzburg, Durban and Mthatha Senior Litigator recruitments after the selection and recommendation of suitable candidates for appointment to the</w:t>
      </w:r>
      <w:r w:rsidR="005618B0">
        <w:rPr>
          <w:rFonts w:ascii="Century Schoolbook" w:hAnsi="Century Schoolbook" w:cs="Times New Roman"/>
          <w:sz w:val="24"/>
          <w:szCs w:val="24"/>
        </w:rPr>
        <w:t xml:space="preserve"> posts.</w:t>
      </w:r>
      <w:r w:rsidR="00AB2BE9">
        <w:rPr>
          <w:rFonts w:ascii="Century Schoolbook" w:hAnsi="Century Schoolbook" w:cs="Times New Roman"/>
          <w:sz w:val="24"/>
          <w:szCs w:val="24"/>
        </w:rPr>
        <w:t xml:space="preserve"> </w:t>
      </w:r>
    </w:p>
    <w:p w:rsidR="00C57E69" w:rsidRDefault="00C57E69" w:rsidP="00C57E69">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 xml:space="preserve">Chairperson </w:t>
      </w:r>
      <w:r w:rsidRPr="00AB2BE9">
        <w:rPr>
          <w:rFonts w:ascii="Century Schoolbook" w:hAnsi="Century Schoolbook" w:cs="Times New Roman"/>
          <w:sz w:val="24"/>
          <w:szCs w:val="24"/>
        </w:rPr>
        <w:t>Mlambo JP</w:t>
      </w:r>
      <w:r>
        <w:rPr>
          <w:rFonts w:ascii="Century Schoolbook" w:hAnsi="Century Schoolbook" w:cs="Times New Roman"/>
          <w:sz w:val="24"/>
          <w:szCs w:val="24"/>
        </w:rPr>
        <w:t>’s</w:t>
      </w:r>
      <w:r w:rsidR="00D34E6C">
        <w:rPr>
          <w:rFonts w:ascii="Century Schoolbook" w:hAnsi="Century Schoolbook" w:cs="Times New Roman"/>
          <w:sz w:val="24"/>
          <w:szCs w:val="24"/>
        </w:rPr>
        <w:t xml:space="preserve"> and</w:t>
      </w:r>
      <w:r w:rsidRPr="00AB2BE9">
        <w:rPr>
          <w:rFonts w:ascii="Century Schoolbook" w:hAnsi="Century Schoolbook" w:cs="Times New Roman"/>
          <w:sz w:val="24"/>
          <w:szCs w:val="24"/>
        </w:rPr>
        <w:t xml:space="preserve"> the Board</w:t>
      </w:r>
      <w:r>
        <w:rPr>
          <w:rFonts w:ascii="Century Schoolbook" w:hAnsi="Century Schoolbook" w:cs="Times New Roman"/>
          <w:sz w:val="24"/>
          <w:szCs w:val="24"/>
        </w:rPr>
        <w:t>’s</w:t>
      </w:r>
      <w:r w:rsidRPr="00AB2BE9">
        <w:rPr>
          <w:rFonts w:ascii="Century Schoolbook" w:hAnsi="Century Schoolbook" w:cs="Times New Roman"/>
          <w:sz w:val="24"/>
          <w:szCs w:val="24"/>
        </w:rPr>
        <w:t xml:space="preserve"> and </w:t>
      </w:r>
      <w:r>
        <w:rPr>
          <w:rFonts w:ascii="Century Schoolbook" w:hAnsi="Century Schoolbook" w:cs="Times New Roman"/>
          <w:sz w:val="24"/>
          <w:szCs w:val="24"/>
        </w:rPr>
        <w:t xml:space="preserve">CEO </w:t>
      </w:r>
      <w:r w:rsidRPr="00AB2BE9">
        <w:rPr>
          <w:rFonts w:ascii="Century Schoolbook" w:hAnsi="Century Schoolbook" w:cs="Times New Roman"/>
          <w:sz w:val="24"/>
          <w:szCs w:val="24"/>
        </w:rPr>
        <w:t>Vedalankar</w:t>
      </w:r>
      <w:r>
        <w:rPr>
          <w:rFonts w:ascii="Century Schoolbook" w:hAnsi="Century Schoolbook" w:cs="Times New Roman"/>
          <w:sz w:val="24"/>
          <w:szCs w:val="24"/>
        </w:rPr>
        <w:t xml:space="preserve">’s successful criminal fraud </w:t>
      </w:r>
      <w:r w:rsidR="00827725">
        <w:rPr>
          <w:rFonts w:ascii="Century Schoolbook" w:hAnsi="Century Schoolbook" w:cs="Times New Roman"/>
          <w:sz w:val="24"/>
          <w:szCs w:val="24"/>
        </w:rPr>
        <w:t xml:space="preserve">perpetrated on </w:t>
      </w:r>
      <w:r>
        <w:rPr>
          <w:rFonts w:ascii="Century Schoolbook" w:hAnsi="Century Schoolbook" w:cs="Times New Roman"/>
          <w:sz w:val="24"/>
          <w:szCs w:val="24"/>
        </w:rPr>
        <w:t>the National Assembly</w:t>
      </w:r>
      <w:r w:rsidR="00827725">
        <w:rPr>
          <w:rFonts w:ascii="Century Schoolbook" w:hAnsi="Century Schoolbook" w:cs="Times New Roman"/>
          <w:sz w:val="24"/>
          <w:szCs w:val="24"/>
        </w:rPr>
        <w:t>,</w:t>
      </w:r>
      <w:r>
        <w:rPr>
          <w:rFonts w:ascii="Century Schoolbook" w:hAnsi="Century Schoolbook" w:cs="Times New Roman"/>
          <w:sz w:val="24"/>
          <w:szCs w:val="24"/>
        </w:rPr>
        <w:t xml:space="preserve"> by presenting to it a false and misleading annual report for 2011/12</w:t>
      </w:r>
      <w:r w:rsidR="00827725">
        <w:rPr>
          <w:rFonts w:ascii="Century Schoolbook" w:hAnsi="Century Schoolbook" w:cs="Times New Roman"/>
          <w:sz w:val="24"/>
          <w:szCs w:val="24"/>
        </w:rPr>
        <w:t>,</w:t>
      </w:r>
      <w:r>
        <w:rPr>
          <w:rFonts w:ascii="Century Schoolbook" w:hAnsi="Century Schoolbook" w:cs="Times New Roman"/>
          <w:sz w:val="24"/>
          <w:szCs w:val="24"/>
        </w:rPr>
        <w:t xml:space="preserve"> constitutes a</w:t>
      </w:r>
      <w:r w:rsidR="00D34E6C">
        <w:rPr>
          <w:rFonts w:ascii="Century Schoolbook" w:hAnsi="Century Schoolbook" w:cs="Times New Roman"/>
          <w:sz w:val="24"/>
          <w:szCs w:val="24"/>
        </w:rPr>
        <w:t xml:space="preserve"> clear-cut</w:t>
      </w:r>
      <w:r>
        <w:rPr>
          <w:rFonts w:ascii="Century Schoolbook" w:hAnsi="Century Schoolbook" w:cs="Times New Roman"/>
          <w:sz w:val="24"/>
          <w:szCs w:val="24"/>
        </w:rPr>
        <w:t xml:space="preserve"> ‘material irregularity’ </w:t>
      </w:r>
      <w:r w:rsidR="00D34E6C">
        <w:rPr>
          <w:rFonts w:ascii="Century Schoolbook" w:hAnsi="Century Schoolbook" w:cs="Times New Roman"/>
          <w:sz w:val="24"/>
          <w:szCs w:val="24"/>
        </w:rPr>
        <w:t xml:space="preserve">on multiple scores </w:t>
      </w:r>
      <w:r>
        <w:rPr>
          <w:rFonts w:ascii="Century Schoolbook" w:hAnsi="Century Schoolbook" w:cs="Times New Roman"/>
          <w:sz w:val="24"/>
          <w:szCs w:val="24"/>
        </w:rPr>
        <w:t>within the definition given in section 1 of the PAA, includ</w:t>
      </w:r>
      <w:r w:rsidR="00092EAF">
        <w:rPr>
          <w:rFonts w:ascii="Century Schoolbook" w:hAnsi="Century Schoolbook" w:cs="Times New Roman"/>
          <w:sz w:val="24"/>
          <w:szCs w:val="24"/>
        </w:rPr>
        <w:t>ing</w:t>
      </w:r>
      <w:r>
        <w:rPr>
          <w:rFonts w:ascii="Century Schoolbook" w:hAnsi="Century Schoolbook" w:cs="Times New Roman"/>
          <w:sz w:val="24"/>
          <w:szCs w:val="24"/>
        </w:rPr>
        <w:t xml:space="preserve"> </w:t>
      </w:r>
      <w:r w:rsidRPr="00C57E69">
        <w:rPr>
          <w:rFonts w:ascii="Century Schoolbook" w:hAnsi="Century Schoolbook" w:cs="Times New Roman"/>
          <w:sz w:val="24"/>
          <w:szCs w:val="24"/>
        </w:rPr>
        <w:t>‘non</w:t>
      </w:r>
      <w:r w:rsidR="00AC2900">
        <w:rPr>
          <w:rFonts w:ascii="Century Schoolbook" w:hAnsi="Century Schoolbook" w:cs="Times New Roman"/>
          <w:sz w:val="24"/>
          <w:szCs w:val="24"/>
        </w:rPr>
        <w:noBreakHyphen/>
      </w:r>
      <w:r w:rsidRPr="00C57E69">
        <w:rPr>
          <w:rFonts w:ascii="Century Schoolbook" w:hAnsi="Century Schoolbook" w:cs="Times New Roman"/>
          <w:sz w:val="24"/>
          <w:szCs w:val="24"/>
        </w:rPr>
        <w:t>compliance with, or contravention of, legislation, fraud</w:t>
      </w:r>
      <w:r>
        <w:rPr>
          <w:rFonts w:ascii="Century Schoolbook" w:hAnsi="Century Schoolbook" w:cs="Times New Roman"/>
          <w:sz w:val="24"/>
          <w:szCs w:val="24"/>
        </w:rPr>
        <w:t xml:space="preserve"> ... </w:t>
      </w:r>
      <w:r w:rsidRPr="00C57E69">
        <w:rPr>
          <w:rFonts w:ascii="Century Schoolbook" w:hAnsi="Century Schoolbook" w:cs="Times New Roman"/>
          <w:sz w:val="24"/>
          <w:szCs w:val="24"/>
        </w:rPr>
        <w:t xml:space="preserve">or a breach of fiduciary duty identified during an audit performed under this Act that resulted in or is likely to result in </w:t>
      </w:r>
      <w:r w:rsidR="00A64614">
        <w:rPr>
          <w:rFonts w:ascii="Century Schoolbook" w:hAnsi="Century Schoolbook" w:cs="Times New Roman"/>
          <w:sz w:val="24"/>
          <w:szCs w:val="24"/>
        </w:rPr>
        <w:t xml:space="preserve">... </w:t>
      </w:r>
      <w:r w:rsidRPr="00C57E69">
        <w:rPr>
          <w:rFonts w:ascii="Century Schoolbook" w:hAnsi="Century Schoolbook" w:cs="Times New Roman"/>
          <w:sz w:val="24"/>
          <w:szCs w:val="24"/>
        </w:rPr>
        <w:t xml:space="preserve">the misuse </w:t>
      </w:r>
      <w:r w:rsidR="00A64614">
        <w:rPr>
          <w:rFonts w:ascii="Century Schoolbook" w:hAnsi="Century Schoolbook" w:cs="Times New Roman"/>
          <w:sz w:val="24"/>
          <w:szCs w:val="24"/>
        </w:rPr>
        <w:t>...</w:t>
      </w:r>
      <w:r w:rsidRPr="00C57E69">
        <w:rPr>
          <w:rFonts w:ascii="Century Schoolbook" w:hAnsi="Century Schoolbook" w:cs="Times New Roman"/>
          <w:sz w:val="24"/>
          <w:szCs w:val="24"/>
        </w:rPr>
        <w:t xml:space="preserve"> of a public resource or substantial harm to a public sector institution or the general public</w:t>
      </w:r>
      <w:r>
        <w:rPr>
          <w:rFonts w:ascii="Century Schoolbook" w:hAnsi="Century Schoolbook" w:cs="Times New Roman"/>
          <w:sz w:val="24"/>
          <w:szCs w:val="24"/>
        </w:rPr>
        <w:t>’.</w:t>
      </w:r>
    </w:p>
    <w:p w:rsidR="009E6952" w:rsidRPr="009E6952" w:rsidRDefault="009E6952" w:rsidP="009E6952">
      <w:pPr>
        <w:pStyle w:val="ListParagraph"/>
        <w:tabs>
          <w:tab w:val="left" w:pos="284"/>
          <w:tab w:val="left" w:pos="426"/>
          <w:tab w:val="left" w:pos="574"/>
        </w:tabs>
        <w:spacing w:line="360" w:lineRule="auto"/>
        <w:ind w:left="0"/>
        <w:contextualSpacing w:val="0"/>
        <w:rPr>
          <w:rFonts w:ascii="Century Schoolbook" w:hAnsi="Century Schoolbook" w:cs="Times New Roman"/>
          <w:b/>
          <w:sz w:val="24"/>
          <w:szCs w:val="24"/>
        </w:rPr>
      </w:pPr>
      <w:r w:rsidRPr="009E6952">
        <w:rPr>
          <w:rFonts w:ascii="Century Schoolbook" w:hAnsi="Century Schoolbook" w:cs="Times New Roman"/>
          <w:b/>
          <w:sz w:val="24"/>
          <w:szCs w:val="24"/>
        </w:rPr>
        <w:t>CONCLUSION</w:t>
      </w:r>
    </w:p>
    <w:p w:rsidR="00D40514" w:rsidRDefault="002C47E7" w:rsidP="00C57E69">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 xml:space="preserve">In the language of section 20(2)(c) of the PAA, </w:t>
      </w:r>
      <w:r w:rsidR="00D40514">
        <w:rPr>
          <w:rFonts w:ascii="Century Schoolbook" w:hAnsi="Century Schoolbook" w:cs="Times New Roman"/>
          <w:sz w:val="24"/>
          <w:szCs w:val="24"/>
        </w:rPr>
        <w:t>LASA’s ‘reported performance’</w:t>
      </w:r>
      <w:r>
        <w:rPr>
          <w:rFonts w:ascii="Century Schoolbook" w:hAnsi="Century Schoolbook" w:cs="Times New Roman"/>
          <w:sz w:val="24"/>
          <w:szCs w:val="24"/>
        </w:rPr>
        <w:t xml:space="preserve"> </w:t>
      </w:r>
      <w:r w:rsidR="00421E22">
        <w:rPr>
          <w:rFonts w:ascii="Century Schoolbook" w:hAnsi="Century Schoolbook" w:cs="Times New Roman"/>
          <w:sz w:val="24"/>
          <w:szCs w:val="24"/>
        </w:rPr>
        <w:t xml:space="preserve">repeatedly falsely </w:t>
      </w:r>
      <w:r w:rsidR="00F0405D">
        <w:rPr>
          <w:rFonts w:ascii="Century Schoolbook" w:hAnsi="Century Schoolbook" w:cs="Times New Roman"/>
          <w:sz w:val="24"/>
          <w:szCs w:val="24"/>
        </w:rPr>
        <w:t>described</w:t>
      </w:r>
      <w:r w:rsidR="00D40514" w:rsidRPr="00D40514">
        <w:rPr>
          <w:rFonts w:ascii="Century Schoolbook" w:hAnsi="Century Schoolbook" w:cs="Times New Roman"/>
          <w:sz w:val="24"/>
          <w:szCs w:val="24"/>
        </w:rPr>
        <w:t xml:space="preserve"> </w:t>
      </w:r>
      <w:r w:rsidR="00D40514">
        <w:rPr>
          <w:rFonts w:ascii="Century Schoolbook" w:hAnsi="Century Schoolbook" w:cs="Times New Roman"/>
          <w:sz w:val="24"/>
          <w:szCs w:val="24"/>
        </w:rPr>
        <w:t>in its annual report for 2011/12</w:t>
      </w:r>
      <w:r w:rsidR="00421E22">
        <w:rPr>
          <w:rFonts w:ascii="Century Schoolbook" w:hAnsi="Century Schoolbook" w:cs="Times New Roman"/>
          <w:sz w:val="24"/>
          <w:szCs w:val="24"/>
        </w:rPr>
        <w:t xml:space="preserve"> </w:t>
      </w:r>
      <w:r w:rsidR="0083323F">
        <w:rPr>
          <w:rFonts w:ascii="Century Schoolbook" w:hAnsi="Century Schoolbook" w:cs="Times New Roman"/>
          <w:sz w:val="24"/>
          <w:szCs w:val="24"/>
        </w:rPr>
        <w:t>concerning</w:t>
      </w:r>
      <w:r w:rsidR="00421E22">
        <w:rPr>
          <w:rFonts w:ascii="Century Schoolbook" w:hAnsi="Century Schoolbook" w:cs="Times New Roman"/>
          <w:sz w:val="24"/>
          <w:szCs w:val="24"/>
        </w:rPr>
        <w:t xml:space="preserve"> the employment of Senior Litigators</w:t>
      </w:r>
      <w:r w:rsidR="00D40514">
        <w:rPr>
          <w:rFonts w:ascii="Century Schoolbook" w:hAnsi="Century Schoolbook" w:cs="Times New Roman"/>
          <w:sz w:val="24"/>
          <w:szCs w:val="24"/>
        </w:rPr>
        <w:t xml:space="preserve">, in which </w:t>
      </w:r>
      <w:r w:rsidR="00FC3055">
        <w:rPr>
          <w:rFonts w:ascii="Century Schoolbook" w:hAnsi="Century Schoolbook" w:cs="Times New Roman"/>
          <w:sz w:val="24"/>
          <w:szCs w:val="24"/>
        </w:rPr>
        <w:t xml:space="preserve">it was </w:t>
      </w:r>
      <w:r>
        <w:rPr>
          <w:rFonts w:ascii="Century Schoolbook" w:hAnsi="Century Schoolbook" w:cs="Times New Roman"/>
          <w:sz w:val="24"/>
          <w:szCs w:val="24"/>
        </w:rPr>
        <w:t>alleg</w:t>
      </w:r>
      <w:r w:rsidR="00D40514">
        <w:rPr>
          <w:rFonts w:ascii="Century Schoolbook" w:hAnsi="Century Schoolbook" w:cs="Times New Roman"/>
          <w:sz w:val="24"/>
          <w:szCs w:val="24"/>
        </w:rPr>
        <w:t xml:space="preserve">ed </w:t>
      </w:r>
      <w:r w:rsidR="00287C59">
        <w:rPr>
          <w:rFonts w:ascii="Century Schoolbook" w:hAnsi="Century Schoolbook" w:cs="Times New Roman"/>
          <w:sz w:val="24"/>
          <w:szCs w:val="24"/>
        </w:rPr>
        <w:t xml:space="preserve">that </w:t>
      </w:r>
      <w:r w:rsidR="00FC3055">
        <w:rPr>
          <w:rFonts w:ascii="Century Schoolbook" w:hAnsi="Century Schoolbook" w:cs="Times New Roman"/>
          <w:sz w:val="24"/>
          <w:szCs w:val="24"/>
        </w:rPr>
        <w:t>LASA</w:t>
      </w:r>
      <w:r w:rsidR="00421E22">
        <w:rPr>
          <w:rFonts w:ascii="Century Schoolbook" w:hAnsi="Century Schoolbook" w:cs="Times New Roman"/>
          <w:sz w:val="24"/>
          <w:szCs w:val="24"/>
        </w:rPr>
        <w:t xml:space="preserve"> had </w:t>
      </w:r>
      <w:r w:rsidR="00D40514">
        <w:rPr>
          <w:rFonts w:ascii="Century Schoolbook" w:hAnsi="Century Schoolbook" w:cs="Times New Roman"/>
          <w:sz w:val="24"/>
          <w:szCs w:val="24"/>
        </w:rPr>
        <w:t>complet</w:t>
      </w:r>
      <w:r w:rsidR="00421E22">
        <w:rPr>
          <w:rFonts w:ascii="Century Schoolbook" w:hAnsi="Century Schoolbook" w:cs="Times New Roman"/>
          <w:sz w:val="24"/>
          <w:szCs w:val="24"/>
        </w:rPr>
        <w:t xml:space="preserve">ed </w:t>
      </w:r>
      <w:r w:rsidR="009E6952">
        <w:rPr>
          <w:rFonts w:ascii="Century Schoolbook" w:hAnsi="Century Schoolbook" w:cs="Times New Roman"/>
          <w:sz w:val="24"/>
          <w:szCs w:val="24"/>
        </w:rPr>
        <w:t>i</w:t>
      </w:r>
      <w:r w:rsidR="00D40514">
        <w:rPr>
          <w:rFonts w:ascii="Century Schoolbook" w:hAnsi="Century Schoolbook" w:cs="Times New Roman"/>
          <w:sz w:val="24"/>
          <w:szCs w:val="24"/>
        </w:rPr>
        <w:t xml:space="preserve">ts Strategic Plan 2009–12 and </w:t>
      </w:r>
      <w:r w:rsidR="00421E22">
        <w:rPr>
          <w:rFonts w:ascii="Century Schoolbook" w:hAnsi="Century Schoolbook" w:cs="Times New Roman"/>
          <w:sz w:val="24"/>
          <w:szCs w:val="24"/>
        </w:rPr>
        <w:t>had put ‘in place’</w:t>
      </w:r>
      <w:r w:rsidR="00D40514">
        <w:rPr>
          <w:rFonts w:ascii="Century Schoolbook" w:hAnsi="Century Schoolbook" w:cs="Times New Roman"/>
          <w:sz w:val="24"/>
          <w:szCs w:val="24"/>
        </w:rPr>
        <w:t xml:space="preserve"> its</w:t>
      </w:r>
      <w:r w:rsidR="0083323F">
        <w:rPr>
          <w:rFonts w:ascii="Century Schoolbook" w:hAnsi="Century Schoolbook" w:cs="Times New Roman"/>
          <w:sz w:val="24"/>
          <w:szCs w:val="24"/>
        </w:rPr>
        <w:t xml:space="preserve"> planned</w:t>
      </w:r>
      <w:r w:rsidR="00D40514">
        <w:rPr>
          <w:rFonts w:ascii="Century Schoolbook" w:hAnsi="Century Schoolbook" w:cs="Times New Roman"/>
          <w:sz w:val="24"/>
          <w:szCs w:val="24"/>
        </w:rPr>
        <w:t xml:space="preserve"> specialist litigation </w:t>
      </w:r>
      <w:r w:rsidR="009E6952">
        <w:rPr>
          <w:rFonts w:ascii="Century Schoolbook" w:hAnsi="Century Schoolbook" w:cs="Times New Roman"/>
          <w:sz w:val="24"/>
          <w:szCs w:val="24"/>
        </w:rPr>
        <w:t xml:space="preserve">and </w:t>
      </w:r>
      <w:r>
        <w:rPr>
          <w:rFonts w:ascii="Century Schoolbook" w:hAnsi="Century Schoolbook" w:cs="Times New Roman"/>
          <w:sz w:val="24"/>
          <w:szCs w:val="24"/>
        </w:rPr>
        <w:t xml:space="preserve">professional </w:t>
      </w:r>
      <w:r w:rsidR="009E6952">
        <w:rPr>
          <w:rFonts w:ascii="Century Schoolbook" w:hAnsi="Century Schoolbook" w:cs="Times New Roman"/>
          <w:sz w:val="24"/>
          <w:szCs w:val="24"/>
        </w:rPr>
        <w:t xml:space="preserve">mentoring </w:t>
      </w:r>
      <w:r w:rsidR="00D40514">
        <w:rPr>
          <w:rFonts w:ascii="Century Schoolbook" w:hAnsi="Century Schoolbook" w:cs="Times New Roman"/>
          <w:sz w:val="24"/>
          <w:szCs w:val="24"/>
        </w:rPr>
        <w:t>capacity</w:t>
      </w:r>
      <w:r w:rsidR="00421E22">
        <w:rPr>
          <w:rFonts w:ascii="Century Schoolbook" w:hAnsi="Century Schoolbook" w:cs="Times New Roman"/>
          <w:sz w:val="24"/>
          <w:szCs w:val="24"/>
        </w:rPr>
        <w:t>,</w:t>
      </w:r>
      <w:r w:rsidR="00D40514">
        <w:rPr>
          <w:rFonts w:ascii="Century Schoolbook" w:hAnsi="Century Schoolbook" w:cs="Times New Roman"/>
          <w:sz w:val="24"/>
          <w:szCs w:val="24"/>
        </w:rPr>
        <w:t xml:space="preserve"> is seriously at odds with ‘its predetermined objectives’</w:t>
      </w:r>
      <w:r w:rsidR="00A60A8E">
        <w:rPr>
          <w:rFonts w:ascii="Century Schoolbook" w:hAnsi="Century Schoolbook" w:cs="Times New Roman"/>
          <w:sz w:val="24"/>
          <w:szCs w:val="24"/>
        </w:rPr>
        <w:t xml:space="preserve"> </w:t>
      </w:r>
      <w:r w:rsidR="0083323F">
        <w:rPr>
          <w:rFonts w:ascii="Century Schoolbook" w:hAnsi="Century Schoolbook" w:cs="Times New Roman"/>
          <w:sz w:val="24"/>
          <w:szCs w:val="24"/>
        </w:rPr>
        <w:t xml:space="preserve">in this regard </w:t>
      </w:r>
      <w:r w:rsidR="00D40514">
        <w:rPr>
          <w:rFonts w:ascii="Century Schoolbook" w:hAnsi="Century Schoolbook" w:cs="Times New Roman"/>
          <w:sz w:val="24"/>
          <w:szCs w:val="24"/>
        </w:rPr>
        <w:t>set out in the plan.</w:t>
      </w:r>
    </w:p>
    <w:p w:rsidR="009E6952" w:rsidRDefault="00D40514" w:rsidP="009E6952">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sidRPr="00A60A8E">
        <w:rPr>
          <w:rFonts w:ascii="Century Schoolbook" w:hAnsi="Century Schoolbook" w:cs="Times New Roman"/>
          <w:sz w:val="24"/>
          <w:szCs w:val="24"/>
        </w:rPr>
        <w:t xml:space="preserve">LASA’s deliberate failure </w:t>
      </w:r>
      <w:r w:rsidR="0083323F">
        <w:rPr>
          <w:rFonts w:ascii="Century Schoolbook" w:hAnsi="Century Schoolbook" w:cs="Times New Roman"/>
          <w:sz w:val="24"/>
          <w:szCs w:val="24"/>
        </w:rPr>
        <w:t>over</w:t>
      </w:r>
      <w:r w:rsidRPr="00A60A8E">
        <w:rPr>
          <w:rFonts w:ascii="Century Schoolbook" w:hAnsi="Century Schoolbook" w:cs="Times New Roman"/>
          <w:sz w:val="24"/>
          <w:szCs w:val="24"/>
        </w:rPr>
        <w:t xml:space="preserve"> </w:t>
      </w:r>
      <w:r w:rsidR="00421E22">
        <w:rPr>
          <w:rFonts w:ascii="Century Schoolbook" w:hAnsi="Century Schoolbook" w:cs="Times New Roman"/>
          <w:sz w:val="24"/>
          <w:szCs w:val="24"/>
        </w:rPr>
        <w:t>the past</w:t>
      </w:r>
      <w:r w:rsidR="0083323F">
        <w:rPr>
          <w:rFonts w:ascii="Century Schoolbook" w:hAnsi="Century Schoolbook" w:cs="Times New Roman"/>
          <w:sz w:val="24"/>
          <w:szCs w:val="24"/>
        </w:rPr>
        <w:t xml:space="preserve"> ten years</w:t>
      </w:r>
      <w:r w:rsidRPr="00A60A8E">
        <w:rPr>
          <w:rFonts w:ascii="Century Schoolbook" w:hAnsi="Century Schoolbook" w:cs="Times New Roman"/>
          <w:sz w:val="24"/>
          <w:szCs w:val="24"/>
        </w:rPr>
        <w:t xml:space="preserve"> to fill its budgeted and funded Senior Litigator posts at Pietermaritzburg, Durban and Mthatha</w:t>
      </w:r>
      <w:r w:rsidR="001B2BD9">
        <w:rPr>
          <w:rFonts w:ascii="Century Schoolbook" w:hAnsi="Century Schoolbook" w:cs="Times New Roman"/>
          <w:sz w:val="24"/>
          <w:szCs w:val="24"/>
        </w:rPr>
        <w:t>, created to provide expert constitutional and other specialist litigation services to the indigent,</w:t>
      </w:r>
      <w:r w:rsidR="009E6952">
        <w:rPr>
          <w:rFonts w:ascii="Century Schoolbook" w:hAnsi="Century Schoolbook" w:cs="Times New Roman"/>
          <w:sz w:val="24"/>
          <w:szCs w:val="24"/>
        </w:rPr>
        <w:t xml:space="preserve"> </w:t>
      </w:r>
      <w:r w:rsidR="002C47E7">
        <w:rPr>
          <w:rFonts w:ascii="Century Schoolbook" w:hAnsi="Century Schoolbook" w:cs="Times New Roman"/>
          <w:sz w:val="24"/>
          <w:szCs w:val="24"/>
        </w:rPr>
        <w:t>is a serious</w:t>
      </w:r>
      <w:r w:rsidR="00140892">
        <w:rPr>
          <w:rFonts w:ascii="Century Schoolbook" w:hAnsi="Century Schoolbook" w:cs="Times New Roman"/>
          <w:sz w:val="24"/>
          <w:szCs w:val="24"/>
        </w:rPr>
        <w:t>ly unlawful</w:t>
      </w:r>
      <w:r w:rsidR="002C47E7">
        <w:rPr>
          <w:rFonts w:ascii="Century Schoolbook" w:hAnsi="Century Schoolbook" w:cs="Times New Roman"/>
          <w:sz w:val="24"/>
          <w:szCs w:val="24"/>
        </w:rPr>
        <w:t xml:space="preserve"> dereliction of</w:t>
      </w:r>
      <w:r w:rsidR="009E6952">
        <w:rPr>
          <w:rFonts w:ascii="Century Schoolbook" w:hAnsi="Century Schoolbook" w:cs="Times New Roman"/>
          <w:sz w:val="24"/>
          <w:szCs w:val="24"/>
        </w:rPr>
        <w:t xml:space="preserve"> its obligation </w:t>
      </w:r>
      <w:r w:rsidR="00477D07">
        <w:rPr>
          <w:rFonts w:ascii="Century Schoolbook" w:hAnsi="Century Schoolbook" w:cs="Times New Roman"/>
          <w:sz w:val="24"/>
          <w:szCs w:val="24"/>
        </w:rPr>
        <w:t>stipulat</w:t>
      </w:r>
      <w:r w:rsidR="009E6952">
        <w:rPr>
          <w:rFonts w:ascii="Century Schoolbook" w:hAnsi="Century Schoolbook" w:cs="Times New Roman"/>
          <w:sz w:val="24"/>
          <w:szCs w:val="24"/>
        </w:rPr>
        <w:t xml:space="preserve">ed in section 20(3) of the PAA to ensure its </w:t>
      </w:r>
      <w:r w:rsidR="009E6952" w:rsidRPr="009E6952">
        <w:rPr>
          <w:rFonts w:ascii="Century Schoolbook" w:hAnsi="Century Schoolbook" w:cs="Times New Roman"/>
          <w:sz w:val="24"/>
          <w:szCs w:val="24"/>
        </w:rPr>
        <w:t xml:space="preserve">‘resources </w:t>
      </w:r>
      <w:r w:rsidR="00421E22">
        <w:rPr>
          <w:rFonts w:ascii="Century Schoolbook" w:hAnsi="Century Schoolbook" w:cs="Times New Roman"/>
          <w:sz w:val="24"/>
          <w:szCs w:val="24"/>
        </w:rPr>
        <w:t>[are]</w:t>
      </w:r>
      <w:r w:rsidR="009E6952" w:rsidRPr="009E6952">
        <w:rPr>
          <w:rFonts w:ascii="Century Schoolbook" w:hAnsi="Century Schoolbook" w:cs="Times New Roman"/>
          <w:sz w:val="24"/>
          <w:szCs w:val="24"/>
        </w:rPr>
        <w:t xml:space="preserve"> procured economically and utilised efficiently and effectively.’</w:t>
      </w:r>
    </w:p>
    <w:p w:rsidR="001C6B1F" w:rsidRPr="009E6952" w:rsidRDefault="002C47E7" w:rsidP="009E6952">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This ‘</w:t>
      </w:r>
      <w:r w:rsidRPr="006C6879">
        <w:rPr>
          <w:rFonts w:ascii="Century Schoolbook" w:hAnsi="Century Schoolbook" w:cs="Times New Roman"/>
          <w:sz w:val="24"/>
          <w:szCs w:val="24"/>
        </w:rPr>
        <w:t>serious or persistent material breach of</w:t>
      </w:r>
      <w:r>
        <w:rPr>
          <w:rFonts w:ascii="Century Schoolbook" w:hAnsi="Century Schoolbook" w:cs="Times New Roman"/>
          <w:sz w:val="24"/>
          <w:szCs w:val="24"/>
        </w:rPr>
        <w:t xml:space="preserve"> ... </w:t>
      </w:r>
      <w:r w:rsidRPr="006C6879">
        <w:rPr>
          <w:rFonts w:ascii="Century Schoolbook" w:hAnsi="Century Schoolbook" w:cs="Times New Roman"/>
          <w:sz w:val="24"/>
          <w:szCs w:val="24"/>
        </w:rPr>
        <w:t>uniform treasury norms and standards</w:t>
      </w:r>
      <w:r>
        <w:rPr>
          <w:rFonts w:ascii="Century Schoolbook" w:hAnsi="Century Schoolbook" w:cs="Times New Roman"/>
          <w:sz w:val="24"/>
          <w:szCs w:val="24"/>
        </w:rPr>
        <w:t>’</w:t>
      </w:r>
      <w:r w:rsidR="00FC3055">
        <w:rPr>
          <w:rFonts w:ascii="Century Schoolbook" w:hAnsi="Century Schoolbook" w:cs="Times New Roman"/>
          <w:sz w:val="24"/>
          <w:szCs w:val="24"/>
        </w:rPr>
        <w:t>,</w:t>
      </w:r>
      <w:r w:rsidR="00421E22">
        <w:rPr>
          <w:rFonts w:ascii="Century Schoolbook" w:hAnsi="Century Schoolbook" w:cs="Times New Roman"/>
          <w:sz w:val="24"/>
          <w:szCs w:val="24"/>
        </w:rPr>
        <w:t xml:space="preserve"> </w:t>
      </w:r>
      <w:r>
        <w:rPr>
          <w:rFonts w:ascii="Century Schoolbook" w:hAnsi="Century Schoolbook" w:cs="Times New Roman"/>
          <w:sz w:val="24"/>
          <w:szCs w:val="24"/>
        </w:rPr>
        <w:t>per section 216 of the Constitution</w:t>
      </w:r>
      <w:r w:rsidR="00421E22">
        <w:rPr>
          <w:rFonts w:ascii="Century Schoolbook" w:hAnsi="Century Schoolbook" w:cs="Times New Roman"/>
          <w:sz w:val="24"/>
          <w:szCs w:val="24"/>
        </w:rPr>
        <w:t xml:space="preserve">, every year for the past </w:t>
      </w:r>
      <w:r w:rsidR="00421E22">
        <w:rPr>
          <w:rFonts w:ascii="Century Schoolbook" w:hAnsi="Century Schoolbook" w:cs="Times New Roman"/>
          <w:sz w:val="24"/>
          <w:szCs w:val="24"/>
        </w:rPr>
        <w:lastRenderedPageBreak/>
        <w:t xml:space="preserve">decade – </w:t>
      </w:r>
      <w:r>
        <w:rPr>
          <w:rFonts w:ascii="Century Schoolbook" w:hAnsi="Century Schoolbook" w:cs="Times New Roman"/>
          <w:sz w:val="24"/>
          <w:szCs w:val="24"/>
        </w:rPr>
        <w:t>‘</w:t>
      </w:r>
      <w:r w:rsidRPr="006C6879">
        <w:rPr>
          <w:rFonts w:ascii="Century Schoolbook" w:hAnsi="Century Schoolbook" w:cs="Times New Roman"/>
          <w:sz w:val="24"/>
          <w:szCs w:val="24"/>
        </w:rPr>
        <w:t>compliance with</w:t>
      </w:r>
      <w:r>
        <w:rPr>
          <w:rFonts w:ascii="Century Schoolbook" w:hAnsi="Century Schoolbook" w:cs="Times New Roman"/>
          <w:sz w:val="24"/>
          <w:szCs w:val="24"/>
        </w:rPr>
        <w:t>’ which</w:t>
      </w:r>
      <w:r w:rsidR="00421E22" w:rsidRPr="00421E22">
        <w:rPr>
          <w:rFonts w:ascii="Century Schoolbook" w:hAnsi="Century Schoolbook" w:cs="Times New Roman"/>
          <w:sz w:val="24"/>
          <w:szCs w:val="24"/>
        </w:rPr>
        <w:t xml:space="preserve"> </w:t>
      </w:r>
      <w:r w:rsidR="00421E22">
        <w:rPr>
          <w:rFonts w:ascii="Century Schoolbook" w:hAnsi="Century Schoolbook" w:cs="Times New Roman"/>
          <w:sz w:val="24"/>
          <w:szCs w:val="24"/>
        </w:rPr>
        <w:t>‘</w:t>
      </w:r>
      <w:r w:rsidR="00421E22" w:rsidRPr="006C6879">
        <w:rPr>
          <w:rFonts w:ascii="Century Schoolbook" w:hAnsi="Century Schoolbook" w:cs="Times New Roman"/>
          <w:sz w:val="24"/>
          <w:szCs w:val="24"/>
        </w:rPr>
        <w:t>norms and standards</w:t>
      </w:r>
      <w:r w:rsidR="00421E22">
        <w:rPr>
          <w:rFonts w:ascii="Century Schoolbook" w:hAnsi="Century Schoolbook" w:cs="Times New Roman"/>
          <w:sz w:val="24"/>
          <w:szCs w:val="24"/>
        </w:rPr>
        <w:t xml:space="preserve"> ... </w:t>
      </w:r>
      <w:r>
        <w:rPr>
          <w:rFonts w:ascii="Century Schoolbook" w:hAnsi="Century Schoolbook" w:cs="Times New Roman"/>
          <w:sz w:val="24"/>
          <w:szCs w:val="24"/>
        </w:rPr>
        <w:t>[t]</w:t>
      </w:r>
      <w:r w:rsidRPr="006C6879">
        <w:rPr>
          <w:rFonts w:ascii="Century Schoolbook" w:hAnsi="Century Schoolbook" w:cs="Times New Roman"/>
          <w:sz w:val="24"/>
          <w:szCs w:val="24"/>
        </w:rPr>
        <w:t>he national treasury must enforce</w:t>
      </w:r>
      <w:r>
        <w:rPr>
          <w:rFonts w:ascii="Century Schoolbook" w:hAnsi="Century Schoolbook" w:cs="Times New Roman"/>
          <w:sz w:val="24"/>
          <w:szCs w:val="24"/>
        </w:rPr>
        <w:t>’</w:t>
      </w:r>
      <w:r w:rsidR="00421E22">
        <w:rPr>
          <w:rFonts w:ascii="Century Schoolbook" w:hAnsi="Century Schoolbook" w:cs="Times New Roman"/>
          <w:sz w:val="24"/>
          <w:szCs w:val="24"/>
        </w:rPr>
        <w:t xml:space="preserve"> – presents a constitutional basis for</w:t>
      </w:r>
      <w:r>
        <w:rPr>
          <w:rFonts w:ascii="Century Schoolbook" w:hAnsi="Century Schoolbook" w:cs="Times New Roman"/>
          <w:sz w:val="24"/>
          <w:szCs w:val="24"/>
        </w:rPr>
        <w:t xml:space="preserve"> </w:t>
      </w:r>
      <w:r w:rsidR="00421E22">
        <w:rPr>
          <w:rFonts w:ascii="Century Schoolbook" w:hAnsi="Century Schoolbook" w:cs="Times New Roman"/>
          <w:sz w:val="24"/>
          <w:szCs w:val="24"/>
        </w:rPr>
        <w:t>the Treasury</w:t>
      </w:r>
      <w:r>
        <w:rPr>
          <w:rFonts w:ascii="Century Schoolbook" w:hAnsi="Century Schoolbook" w:cs="Times New Roman"/>
          <w:sz w:val="24"/>
          <w:szCs w:val="24"/>
        </w:rPr>
        <w:t xml:space="preserve"> to ‘</w:t>
      </w:r>
      <w:r w:rsidRPr="006C6879">
        <w:rPr>
          <w:rFonts w:ascii="Century Schoolbook" w:hAnsi="Century Schoolbook" w:cs="Times New Roman"/>
          <w:sz w:val="24"/>
          <w:szCs w:val="24"/>
        </w:rPr>
        <w:t>stop the transfer of funds to</w:t>
      </w:r>
      <w:r>
        <w:rPr>
          <w:rFonts w:ascii="Century Schoolbook" w:hAnsi="Century Schoolbook" w:cs="Times New Roman"/>
          <w:sz w:val="24"/>
          <w:szCs w:val="24"/>
        </w:rPr>
        <w:t xml:space="preserve">’ LASA as </w:t>
      </w:r>
      <w:r w:rsidR="00421E22">
        <w:rPr>
          <w:rFonts w:ascii="Century Schoolbook" w:hAnsi="Century Schoolbook" w:cs="Times New Roman"/>
          <w:sz w:val="24"/>
          <w:szCs w:val="24"/>
        </w:rPr>
        <w:t xml:space="preserve">a seriously and persistently delinquent </w:t>
      </w:r>
      <w:r>
        <w:rPr>
          <w:rFonts w:ascii="Century Schoolbook" w:hAnsi="Century Schoolbook" w:cs="Times New Roman"/>
          <w:sz w:val="24"/>
          <w:szCs w:val="24"/>
        </w:rPr>
        <w:t>‘</w:t>
      </w:r>
      <w:r w:rsidRPr="006C6879">
        <w:rPr>
          <w:rFonts w:ascii="Century Schoolbook" w:hAnsi="Century Schoolbook" w:cs="Times New Roman"/>
          <w:sz w:val="24"/>
          <w:szCs w:val="24"/>
        </w:rPr>
        <w:t>organ of state</w:t>
      </w:r>
      <w:r>
        <w:rPr>
          <w:rFonts w:ascii="Century Schoolbook" w:hAnsi="Century Schoolbook" w:cs="Times New Roman"/>
          <w:sz w:val="24"/>
          <w:szCs w:val="24"/>
        </w:rPr>
        <w:t>’.</w:t>
      </w:r>
    </w:p>
    <w:p w:rsidR="00827725" w:rsidRPr="00827725" w:rsidRDefault="00421E22" w:rsidP="00827725">
      <w:pPr>
        <w:pStyle w:val="ListParagraph"/>
        <w:numPr>
          <w:ilvl w:val="0"/>
          <w:numId w:val="1"/>
        </w:numPr>
        <w:tabs>
          <w:tab w:val="left" w:pos="284"/>
          <w:tab w:val="left" w:pos="426"/>
          <w:tab w:val="left" w:pos="574"/>
        </w:tabs>
        <w:spacing w:line="360" w:lineRule="auto"/>
        <w:ind w:left="0" w:firstLine="0"/>
        <w:contextualSpacing w:val="0"/>
        <w:rPr>
          <w:rFonts w:ascii="Century Schoolbook" w:hAnsi="Century Schoolbook" w:cs="Times New Roman"/>
          <w:sz w:val="24"/>
          <w:szCs w:val="24"/>
        </w:rPr>
      </w:pPr>
      <w:r>
        <w:rPr>
          <w:rFonts w:ascii="Century Schoolbook" w:hAnsi="Century Schoolbook" w:cs="Times New Roman"/>
          <w:sz w:val="24"/>
          <w:szCs w:val="24"/>
        </w:rPr>
        <w:t>S</w:t>
      </w:r>
      <w:r w:rsidR="00827725" w:rsidRPr="00A60A8E">
        <w:rPr>
          <w:rFonts w:ascii="Century Schoolbook" w:hAnsi="Century Schoolbook" w:cs="Times New Roman"/>
          <w:sz w:val="24"/>
          <w:szCs w:val="24"/>
        </w:rPr>
        <w:t>ection 5(3) of the PAA empowers the ‘</w:t>
      </w:r>
      <w:r w:rsidR="00827725" w:rsidRPr="00A60A8E">
        <w:rPr>
          <w:rFonts w:ascii="Century Schoolbook" w:hAnsi="Century Schoolbook"/>
          <w:sz w:val="24"/>
          <w:szCs w:val="24"/>
        </w:rPr>
        <w:t xml:space="preserve">Auditor-General ... in the public interest [to] report on’ Mlambo JP’s, the Board’s and Vedalankar’s criminal and other contraventions </w:t>
      </w:r>
      <w:r w:rsidR="00683EA0">
        <w:rPr>
          <w:rFonts w:ascii="Century Schoolbook" w:hAnsi="Century Schoolbook"/>
          <w:sz w:val="24"/>
          <w:szCs w:val="24"/>
        </w:rPr>
        <w:t xml:space="preserve">both </w:t>
      </w:r>
      <w:r w:rsidR="00827725" w:rsidRPr="00A60A8E">
        <w:rPr>
          <w:rFonts w:ascii="Century Schoolbook" w:hAnsi="Century Schoolbook"/>
          <w:sz w:val="24"/>
          <w:szCs w:val="24"/>
        </w:rPr>
        <w:t xml:space="preserve">of the PFMA and </w:t>
      </w:r>
      <w:r w:rsidR="008D4CAC">
        <w:rPr>
          <w:rFonts w:ascii="Century Schoolbook" w:hAnsi="Century Schoolbook"/>
          <w:sz w:val="24"/>
          <w:szCs w:val="24"/>
        </w:rPr>
        <w:t xml:space="preserve">of </w:t>
      </w:r>
      <w:r w:rsidR="00E34912" w:rsidRPr="00A60A8E">
        <w:rPr>
          <w:rFonts w:ascii="Century Schoolbook" w:hAnsi="Century Schoolbook"/>
          <w:sz w:val="24"/>
          <w:szCs w:val="24"/>
        </w:rPr>
        <w:t xml:space="preserve">the </w:t>
      </w:r>
      <w:r w:rsidR="00391EC1" w:rsidRPr="00A60A8E">
        <w:rPr>
          <w:rFonts w:ascii="Century Schoolbook" w:hAnsi="Century Schoolbook"/>
          <w:sz w:val="24"/>
          <w:szCs w:val="24"/>
        </w:rPr>
        <w:t>Powers, Privileges and Immunities Act</w:t>
      </w:r>
      <w:r w:rsidR="00827725" w:rsidRPr="00A60A8E">
        <w:rPr>
          <w:rFonts w:ascii="Century Schoolbook" w:hAnsi="Century Schoolbook"/>
          <w:sz w:val="24"/>
          <w:szCs w:val="24"/>
        </w:rPr>
        <w:t xml:space="preserve"> and</w:t>
      </w:r>
      <w:r w:rsidR="0083323F">
        <w:rPr>
          <w:rFonts w:ascii="Century Schoolbook" w:hAnsi="Century Schoolbook"/>
          <w:sz w:val="24"/>
          <w:szCs w:val="24"/>
        </w:rPr>
        <w:t xml:space="preserve"> to</w:t>
      </w:r>
      <w:r w:rsidR="00827725" w:rsidRPr="00A60A8E">
        <w:rPr>
          <w:rFonts w:ascii="Century Schoolbook" w:hAnsi="Century Schoolbook"/>
          <w:sz w:val="24"/>
          <w:szCs w:val="24"/>
        </w:rPr>
        <w:t xml:space="preserve"> ‘submit such a report to the relevant legislature’, namely the National Assembly</w:t>
      </w:r>
      <w:r w:rsidR="007D12E7" w:rsidRPr="00A60A8E">
        <w:rPr>
          <w:rFonts w:ascii="Century Schoolbook" w:hAnsi="Century Schoolbook"/>
          <w:sz w:val="24"/>
          <w:szCs w:val="24"/>
        </w:rPr>
        <w:t xml:space="preserve"> – </w:t>
      </w:r>
      <w:r w:rsidR="00332111" w:rsidRPr="00A60A8E">
        <w:rPr>
          <w:rFonts w:ascii="Century Schoolbook" w:hAnsi="Century Schoolbook"/>
          <w:sz w:val="24"/>
          <w:szCs w:val="24"/>
        </w:rPr>
        <w:t xml:space="preserve">specifically </w:t>
      </w:r>
      <w:r w:rsidR="007D12E7" w:rsidRPr="00A60A8E">
        <w:rPr>
          <w:rFonts w:ascii="Century Schoolbook" w:hAnsi="Century Schoolbook"/>
          <w:sz w:val="24"/>
          <w:szCs w:val="24"/>
        </w:rPr>
        <w:t xml:space="preserve">the Speaker and the </w:t>
      </w:r>
      <w:r w:rsidR="00683EA0">
        <w:rPr>
          <w:rFonts w:ascii="Century Schoolbook" w:hAnsi="Century Schoolbook"/>
          <w:sz w:val="24"/>
          <w:szCs w:val="24"/>
        </w:rPr>
        <w:t xml:space="preserve">Justice </w:t>
      </w:r>
      <w:r w:rsidR="007D12E7" w:rsidRPr="00A60A8E">
        <w:rPr>
          <w:rFonts w:ascii="Century Schoolbook" w:hAnsi="Century Schoolbook"/>
          <w:sz w:val="24"/>
          <w:szCs w:val="24"/>
        </w:rPr>
        <w:t xml:space="preserve">Portfolio Committee – </w:t>
      </w:r>
      <w:r w:rsidR="00827725" w:rsidRPr="00A60A8E">
        <w:rPr>
          <w:rFonts w:ascii="Century Schoolbook" w:hAnsi="Century Schoolbook"/>
          <w:sz w:val="24"/>
          <w:szCs w:val="24"/>
        </w:rPr>
        <w:t xml:space="preserve">‘and to any other organs of state with a direct interest in the matter’, namely the </w:t>
      </w:r>
      <w:r w:rsidR="00991D12" w:rsidRPr="00A60A8E">
        <w:rPr>
          <w:rFonts w:ascii="Century Schoolbook" w:hAnsi="Century Schoolbook"/>
          <w:sz w:val="24"/>
          <w:szCs w:val="24"/>
        </w:rPr>
        <w:t>Treasury</w:t>
      </w:r>
      <w:r w:rsidR="00010A15" w:rsidRPr="00A60A8E">
        <w:rPr>
          <w:rFonts w:ascii="Century Schoolbook" w:hAnsi="Century Schoolbook"/>
          <w:sz w:val="24"/>
          <w:szCs w:val="24"/>
        </w:rPr>
        <w:t>;</w:t>
      </w:r>
      <w:r w:rsidR="00991D12" w:rsidRPr="00A60A8E">
        <w:rPr>
          <w:rFonts w:ascii="Century Schoolbook" w:hAnsi="Century Schoolbook"/>
          <w:sz w:val="24"/>
          <w:szCs w:val="24"/>
        </w:rPr>
        <w:t xml:space="preserve"> the Minister</w:t>
      </w:r>
      <w:r w:rsidR="00010A15" w:rsidRPr="00A60A8E">
        <w:rPr>
          <w:rFonts w:ascii="Century Schoolbook" w:hAnsi="Century Schoolbook"/>
          <w:sz w:val="24"/>
          <w:szCs w:val="24"/>
        </w:rPr>
        <w:t>;</w:t>
      </w:r>
      <w:r w:rsidR="007D12E7" w:rsidRPr="00A60A8E">
        <w:rPr>
          <w:rFonts w:ascii="Century Schoolbook" w:hAnsi="Century Schoolbook"/>
          <w:sz w:val="24"/>
          <w:szCs w:val="24"/>
        </w:rPr>
        <w:t xml:space="preserve"> the</w:t>
      </w:r>
      <w:r w:rsidR="00C739F1" w:rsidRPr="00A60A8E">
        <w:rPr>
          <w:rFonts w:ascii="Century Schoolbook" w:hAnsi="Century Schoolbook"/>
          <w:sz w:val="24"/>
          <w:szCs w:val="24"/>
        </w:rPr>
        <w:t xml:space="preserve"> Department’s</w:t>
      </w:r>
      <w:r w:rsidR="00332111" w:rsidRPr="00A60A8E">
        <w:rPr>
          <w:rFonts w:ascii="Century Schoolbook" w:hAnsi="Century Schoolbook"/>
          <w:sz w:val="24"/>
          <w:szCs w:val="24"/>
        </w:rPr>
        <w:t xml:space="preserve"> Director: Third Party Funds</w:t>
      </w:r>
      <w:r w:rsidR="00991D12" w:rsidRPr="00A60A8E">
        <w:rPr>
          <w:rFonts w:ascii="Century Schoolbook" w:hAnsi="Century Schoolbook"/>
          <w:sz w:val="24"/>
          <w:szCs w:val="24"/>
        </w:rPr>
        <w:t xml:space="preserve">; the Public Protector; </w:t>
      </w:r>
      <w:r w:rsidR="00683EA0" w:rsidRPr="00A60A8E">
        <w:rPr>
          <w:rFonts w:ascii="Century Schoolbook" w:hAnsi="Century Schoolbook"/>
          <w:sz w:val="24"/>
          <w:szCs w:val="24"/>
        </w:rPr>
        <w:t xml:space="preserve">the Judicial Service Commission; and </w:t>
      </w:r>
      <w:r w:rsidR="00991D12" w:rsidRPr="00A60A8E">
        <w:rPr>
          <w:rFonts w:ascii="Century Schoolbook" w:hAnsi="Century Schoolbook"/>
          <w:sz w:val="24"/>
          <w:szCs w:val="24"/>
        </w:rPr>
        <w:t xml:space="preserve">the </w:t>
      </w:r>
      <w:r w:rsidR="00827725" w:rsidRPr="00A60A8E">
        <w:rPr>
          <w:rFonts w:ascii="Century Schoolbook" w:hAnsi="Century Schoolbook"/>
          <w:sz w:val="24"/>
          <w:szCs w:val="24"/>
        </w:rPr>
        <w:t>National Director of Public Prosecutions</w:t>
      </w:r>
      <w:r w:rsidR="00827725" w:rsidRPr="00A60A8E">
        <w:rPr>
          <w:rFonts w:ascii="Century Schoolbook" w:hAnsi="Century Schoolbook" w:cs="Times New Roman"/>
          <w:sz w:val="24"/>
          <w:szCs w:val="24"/>
        </w:rPr>
        <w:t>.</w:t>
      </w:r>
    </w:p>
    <w:p w:rsidR="00827725" w:rsidRDefault="00827725" w:rsidP="00EB7EF8">
      <w:pPr>
        <w:pStyle w:val="ListParagraph"/>
        <w:tabs>
          <w:tab w:val="left" w:pos="284"/>
          <w:tab w:val="left" w:pos="426"/>
          <w:tab w:val="left" w:pos="574"/>
        </w:tabs>
        <w:spacing w:after="800" w:line="360" w:lineRule="auto"/>
        <w:ind w:left="0"/>
        <w:contextualSpacing w:val="0"/>
        <w:rPr>
          <w:rFonts w:ascii="Century Schoolbook" w:hAnsi="Century Schoolbook" w:cs="Times New Roman"/>
          <w:sz w:val="24"/>
          <w:szCs w:val="24"/>
        </w:rPr>
      </w:pPr>
      <w:r>
        <w:rPr>
          <w:rFonts w:ascii="Century Schoolbook" w:hAnsi="Century Schoolbook" w:cs="Times New Roman"/>
          <w:sz w:val="24"/>
          <w:szCs w:val="24"/>
        </w:rPr>
        <w:t>Signed at Eshowe on</w:t>
      </w:r>
      <w:r w:rsidR="00281D7D">
        <w:rPr>
          <w:rFonts w:ascii="Century Schoolbook" w:hAnsi="Century Schoolbook" w:cs="Times New Roman"/>
          <w:sz w:val="24"/>
          <w:szCs w:val="24"/>
        </w:rPr>
        <w:t xml:space="preserve"> 1</w:t>
      </w:r>
      <w:r w:rsidR="00EA3BBD">
        <w:rPr>
          <w:rFonts w:ascii="Century Schoolbook" w:hAnsi="Century Schoolbook" w:cs="Times New Roman"/>
          <w:sz w:val="24"/>
          <w:szCs w:val="24"/>
        </w:rPr>
        <w:t>9</w:t>
      </w:r>
      <w:r w:rsidR="00140892">
        <w:rPr>
          <w:rFonts w:ascii="Century Schoolbook" w:hAnsi="Century Schoolbook" w:cs="Times New Roman"/>
          <w:sz w:val="24"/>
          <w:szCs w:val="24"/>
        </w:rPr>
        <w:t xml:space="preserve"> </w:t>
      </w:r>
      <w:r w:rsidR="00287C59">
        <w:rPr>
          <w:rFonts w:ascii="Century Schoolbook" w:hAnsi="Century Schoolbook" w:cs="Times New Roman"/>
          <w:sz w:val="24"/>
          <w:szCs w:val="24"/>
        </w:rPr>
        <w:t>February</w:t>
      </w:r>
      <w:r>
        <w:rPr>
          <w:rFonts w:ascii="Century Schoolbook" w:hAnsi="Century Schoolbook" w:cs="Times New Roman"/>
          <w:sz w:val="24"/>
          <w:szCs w:val="24"/>
        </w:rPr>
        <w:t xml:space="preserve"> 2020</w:t>
      </w:r>
    </w:p>
    <w:p w:rsidR="00827725" w:rsidRPr="00D34E6C" w:rsidRDefault="00827725" w:rsidP="00827725">
      <w:pPr>
        <w:pStyle w:val="ListParagraph"/>
        <w:tabs>
          <w:tab w:val="left" w:pos="284"/>
          <w:tab w:val="left" w:pos="426"/>
          <w:tab w:val="left" w:pos="574"/>
        </w:tabs>
        <w:spacing w:line="360" w:lineRule="auto"/>
        <w:ind w:left="0"/>
        <w:contextualSpacing w:val="0"/>
        <w:rPr>
          <w:rFonts w:ascii="Century Schoolbook" w:hAnsi="Century Schoolbook" w:cs="Times New Roman"/>
          <w:sz w:val="24"/>
          <w:szCs w:val="24"/>
        </w:rPr>
      </w:pPr>
      <w:r w:rsidRPr="00D34E6C">
        <w:rPr>
          <w:rFonts w:ascii="Century Schoolbook" w:hAnsi="Century Schoolbook" w:cs="Times New Roman"/>
          <w:sz w:val="24"/>
          <w:szCs w:val="24"/>
        </w:rPr>
        <w:t>ANTHONY BRINK</w:t>
      </w:r>
    </w:p>
    <w:p w:rsidR="00827725" w:rsidRPr="00D34E6C" w:rsidRDefault="00827725" w:rsidP="00EB7EF8">
      <w:pPr>
        <w:tabs>
          <w:tab w:val="left" w:pos="284"/>
          <w:tab w:val="left" w:pos="567"/>
        </w:tabs>
        <w:spacing w:after="800" w:line="360" w:lineRule="auto"/>
        <w:rPr>
          <w:rFonts w:ascii="Century Schoolbook" w:hAnsi="Century Schoolbook" w:cs="Times New Roman"/>
          <w:sz w:val="24"/>
          <w:szCs w:val="24"/>
        </w:rPr>
      </w:pPr>
      <w:r w:rsidRPr="00D34E6C">
        <w:rPr>
          <w:rFonts w:ascii="Century Schoolbook" w:hAnsi="Century Schoolbook" w:cs="Times New Roman"/>
          <w:sz w:val="24"/>
          <w:szCs w:val="24"/>
        </w:rPr>
        <w:t>Signed before me at Eshowe on</w:t>
      </w:r>
      <w:r w:rsidR="00140892">
        <w:rPr>
          <w:rFonts w:ascii="Century Schoolbook" w:hAnsi="Century Schoolbook" w:cs="Times New Roman"/>
          <w:sz w:val="24"/>
          <w:szCs w:val="24"/>
        </w:rPr>
        <w:t xml:space="preserve"> </w:t>
      </w:r>
      <w:r w:rsidR="00281D7D">
        <w:rPr>
          <w:rFonts w:ascii="Century Schoolbook" w:hAnsi="Century Schoolbook" w:cs="Times New Roman"/>
          <w:sz w:val="24"/>
          <w:szCs w:val="24"/>
        </w:rPr>
        <w:t>1</w:t>
      </w:r>
      <w:r w:rsidR="00EA3BBD">
        <w:rPr>
          <w:rFonts w:ascii="Century Schoolbook" w:hAnsi="Century Schoolbook" w:cs="Times New Roman"/>
          <w:sz w:val="24"/>
          <w:szCs w:val="24"/>
        </w:rPr>
        <w:t>9</w:t>
      </w:r>
      <w:r w:rsidR="00140892">
        <w:rPr>
          <w:rFonts w:ascii="Century Schoolbook" w:hAnsi="Century Schoolbook" w:cs="Times New Roman"/>
          <w:sz w:val="24"/>
          <w:szCs w:val="24"/>
        </w:rPr>
        <w:t xml:space="preserve"> </w:t>
      </w:r>
      <w:r w:rsidR="00287C59">
        <w:rPr>
          <w:rFonts w:ascii="Century Schoolbook" w:hAnsi="Century Schoolbook" w:cs="Times New Roman"/>
          <w:sz w:val="24"/>
          <w:szCs w:val="24"/>
        </w:rPr>
        <w:t>February</w:t>
      </w:r>
      <w:r w:rsidRPr="00D34E6C">
        <w:rPr>
          <w:rFonts w:ascii="Century Schoolbook" w:hAnsi="Century Schoolbook" w:cs="Times New Roman"/>
          <w:sz w:val="24"/>
          <w:szCs w:val="24"/>
        </w:rPr>
        <w:t xml:space="preserve"> 2020 by the deponent who has acknowledged that he knows and understands the contents of this affidavit and</w:t>
      </w:r>
      <w:r w:rsidR="00FA6CB5">
        <w:rPr>
          <w:rFonts w:ascii="Century Schoolbook" w:hAnsi="Century Schoolbook" w:cs="Times New Roman"/>
          <w:sz w:val="24"/>
          <w:szCs w:val="24"/>
        </w:rPr>
        <w:t xml:space="preserve"> who </w:t>
      </w:r>
      <w:r w:rsidRPr="00D34E6C">
        <w:rPr>
          <w:rFonts w:ascii="Century Schoolbook" w:hAnsi="Century Schoolbook" w:cs="Times New Roman"/>
          <w:sz w:val="24"/>
          <w:szCs w:val="24"/>
        </w:rPr>
        <w:t xml:space="preserve">affirms its contents to be true to the best of his knowledge and belief. </w:t>
      </w:r>
    </w:p>
    <w:p w:rsidR="00827725" w:rsidRPr="00D80EA2" w:rsidRDefault="00827725" w:rsidP="00827725">
      <w:pPr>
        <w:tabs>
          <w:tab w:val="left" w:pos="426"/>
        </w:tabs>
        <w:spacing w:line="360" w:lineRule="auto"/>
        <w:rPr>
          <w:rFonts w:ascii="Century Schoolbook" w:eastAsia="Times New Roman" w:hAnsi="Century Schoolbook" w:cs="Times New Roman"/>
        </w:rPr>
      </w:pPr>
      <w:r w:rsidRPr="00D80EA2">
        <w:rPr>
          <w:rFonts w:ascii="Century Schoolbook" w:eastAsia="Times New Roman" w:hAnsi="Century Schoolbook" w:cs="Times New Roman"/>
        </w:rPr>
        <w:t>COMMISSIONER OF OATHS</w:t>
      </w:r>
    </w:p>
    <w:p w:rsidR="00827725" w:rsidRPr="00D80EA2" w:rsidRDefault="00827725" w:rsidP="00827725">
      <w:pPr>
        <w:tabs>
          <w:tab w:val="left" w:pos="426"/>
        </w:tabs>
        <w:spacing w:line="360" w:lineRule="auto"/>
        <w:rPr>
          <w:rFonts w:ascii="Century Schoolbook" w:eastAsia="Times New Roman" w:hAnsi="Century Schoolbook" w:cs="Times New Roman"/>
        </w:rPr>
      </w:pPr>
      <w:r w:rsidRPr="00D80EA2">
        <w:rPr>
          <w:rFonts w:ascii="Century Schoolbook" w:eastAsia="Times New Roman" w:hAnsi="Century Schoolbook" w:cs="Times New Roman"/>
        </w:rPr>
        <w:t xml:space="preserve">Name: </w:t>
      </w:r>
    </w:p>
    <w:p w:rsidR="00827725" w:rsidRPr="00D80EA2" w:rsidRDefault="00827725" w:rsidP="00827725">
      <w:pPr>
        <w:tabs>
          <w:tab w:val="left" w:pos="426"/>
        </w:tabs>
        <w:spacing w:line="360" w:lineRule="auto"/>
        <w:rPr>
          <w:rFonts w:ascii="Century Schoolbook" w:eastAsia="Times New Roman" w:hAnsi="Century Schoolbook" w:cs="Times New Roman"/>
        </w:rPr>
      </w:pPr>
      <w:r w:rsidRPr="00D80EA2">
        <w:rPr>
          <w:rFonts w:ascii="Century Schoolbook" w:eastAsia="Times New Roman" w:hAnsi="Century Schoolbook" w:cs="Times New Roman"/>
        </w:rPr>
        <w:t xml:space="preserve">Address: </w:t>
      </w:r>
    </w:p>
    <w:p w:rsidR="00F56520" w:rsidRPr="006C6879" w:rsidRDefault="00827725" w:rsidP="00287C59">
      <w:pPr>
        <w:tabs>
          <w:tab w:val="left" w:pos="426"/>
        </w:tabs>
        <w:spacing w:line="360" w:lineRule="auto"/>
        <w:rPr>
          <w:rFonts w:ascii="Century Schoolbook" w:hAnsi="Century Schoolbook" w:cs="Times New Roman"/>
          <w:sz w:val="24"/>
          <w:szCs w:val="24"/>
        </w:rPr>
      </w:pPr>
      <w:r w:rsidRPr="00D80EA2">
        <w:rPr>
          <w:rFonts w:ascii="Century Schoolbook" w:eastAsia="Times New Roman" w:hAnsi="Century Schoolbook" w:cs="Times New Roman"/>
        </w:rPr>
        <w:t>Capacity:</w:t>
      </w:r>
      <w:r w:rsidR="00287C59" w:rsidRPr="006C6879">
        <w:rPr>
          <w:rFonts w:ascii="Century Schoolbook" w:hAnsi="Century Schoolbook" w:cs="Times New Roman"/>
          <w:sz w:val="24"/>
          <w:szCs w:val="24"/>
        </w:rPr>
        <w:t xml:space="preserve"> </w:t>
      </w:r>
    </w:p>
    <w:p w:rsidR="00F56520" w:rsidRPr="006C6879" w:rsidRDefault="00F56520" w:rsidP="00A7420D">
      <w:pPr>
        <w:tabs>
          <w:tab w:val="left" w:pos="284"/>
          <w:tab w:val="left" w:pos="426"/>
        </w:tabs>
        <w:spacing w:line="360" w:lineRule="auto"/>
        <w:rPr>
          <w:rFonts w:ascii="Century Schoolbook" w:hAnsi="Century Schoolbook" w:cs="Times New Roman"/>
          <w:sz w:val="24"/>
          <w:szCs w:val="24"/>
        </w:rPr>
      </w:pPr>
    </w:p>
    <w:sectPr w:rsidR="00F56520" w:rsidRPr="006C6879" w:rsidSect="00C303B2">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4AE" w:rsidRDefault="002A54AE" w:rsidP="004E02F3">
      <w:pPr>
        <w:spacing w:after="0" w:line="240" w:lineRule="auto"/>
      </w:pPr>
      <w:r>
        <w:separator/>
      </w:r>
    </w:p>
  </w:endnote>
  <w:endnote w:type="continuationSeparator" w:id="1">
    <w:p w:rsidR="002A54AE" w:rsidRDefault="002A54AE" w:rsidP="004E0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40783"/>
      <w:docPartObj>
        <w:docPartGallery w:val="Page Numbers (Bottom of Page)"/>
        <w:docPartUnique/>
      </w:docPartObj>
    </w:sdtPr>
    <w:sdtContent>
      <w:p w:rsidR="002A0259" w:rsidRDefault="00F54C72" w:rsidP="002B4473">
        <w:pPr>
          <w:pStyle w:val="Footer"/>
          <w:spacing w:before="120"/>
          <w:jc w:val="center"/>
        </w:pPr>
        <w:r w:rsidRPr="00B3367D">
          <w:rPr>
            <w:rFonts w:ascii="Century" w:hAnsi="Century"/>
            <w:sz w:val="24"/>
          </w:rPr>
          <w:fldChar w:fldCharType="begin"/>
        </w:r>
        <w:r w:rsidR="002A0259" w:rsidRPr="00B3367D">
          <w:rPr>
            <w:rFonts w:ascii="Century" w:hAnsi="Century"/>
            <w:sz w:val="24"/>
          </w:rPr>
          <w:instrText xml:space="preserve"> PAGE   \* MERGEFORMAT </w:instrText>
        </w:r>
        <w:r w:rsidRPr="00B3367D">
          <w:rPr>
            <w:rFonts w:ascii="Century" w:hAnsi="Century"/>
            <w:sz w:val="24"/>
          </w:rPr>
          <w:fldChar w:fldCharType="separate"/>
        </w:r>
        <w:r w:rsidR="00E93CF4">
          <w:rPr>
            <w:rFonts w:ascii="Century" w:hAnsi="Century"/>
            <w:noProof/>
            <w:sz w:val="24"/>
          </w:rPr>
          <w:t>3</w:t>
        </w:r>
        <w:r w:rsidRPr="00B3367D">
          <w:rPr>
            <w:rFonts w:ascii="Century" w:hAnsi="Century"/>
            <w:sz w:val="24"/>
          </w:rPr>
          <w:fldChar w:fldCharType="end"/>
        </w:r>
      </w:p>
    </w:sdtContent>
  </w:sdt>
  <w:p w:rsidR="002A0259" w:rsidRDefault="002A0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59" w:rsidRDefault="002A0259">
    <w:pPr>
      <w:pStyle w:val="Footer"/>
      <w:jc w:val="center"/>
    </w:pPr>
  </w:p>
  <w:p w:rsidR="002A0259" w:rsidRDefault="002A0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4AE" w:rsidRDefault="002A54AE" w:rsidP="004E02F3">
      <w:pPr>
        <w:spacing w:after="0" w:line="240" w:lineRule="auto"/>
      </w:pPr>
      <w:r>
        <w:separator/>
      </w:r>
    </w:p>
  </w:footnote>
  <w:footnote w:type="continuationSeparator" w:id="1">
    <w:p w:rsidR="002A54AE" w:rsidRDefault="002A54AE" w:rsidP="004E02F3">
      <w:pPr>
        <w:spacing w:after="0" w:line="240" w:lineRule="auto"/>
      </w:pPr>
      <w:r>
        <w:continuationSeparator/>
      </w:r>
    </w:p>
  </w:footnote>
  <w:footnote w:id="2">
    <w:p w:rsidR="002A0259" w:rsidRPr="00371644" w:rsidRDefault="002A0259" w:rsidP="00CD4AB8">
      <w:pPr>
        <w:pStyle w:val="FootnoteText"/>
      </w:pPr>
      <w:r w:rsidRPr="00371644">
        <w:rPr>
          <w:rStyle w:val="FootnoteReference"/>
          <w:rFonts w:cs="Times New Roman"/>
        </w:rPr>
        <w:footnoteRef/>
      </w:r>
      <w:r w:rsidRPr="00371644">
        <w:t xml:space="preserve"> </w:t>
      </w:r>
      <w:r w:rsidRPr="00371644">
        <w:rPr>
          <w:i/>
        </w:rPr>
        <w:t>Business Day</w:t>
      </w:r>
      <w:r w:rsidRPr="00371644">
        <w:t>, 12 January 2011.</w:t>
      </w:r>
    </w:p>
  </w:footnote>
  <w:footnote w:id="3">
    <w:p w:rsidR="002A0259" w:rsidRPr="00371644" w:rsidRDefault="002A0259" w:rsidP="00CD4AB8">
      <w:pPr>
        <w:pStyle w:val="FootnoteText"/>
      </w:pPr>
      <w:r w:rsidRPr="00371644">
        <w:rPr>
          <w:rStyle w:val="FootnoteReference"/>
        </w:rPr>
        <w:footnoteRef/>
      </w:r>
      <w:r w:rsidRPr="00371644">
        <w:t xml:space="preserve"> News24, 1 August 2019</w:t>
      </w:r>
      <w:r>
        <w:t>.</w:t>
      </w:r>
    </w:p>
  </w:footnote>
  <w:footnote w:id="4">
    <w:p w:rsidR="002A0259" w:rsidRPr="00371644" w:rsidRDefault="002A0259" w:rsidP="00CD4AB8">
      <w:pPr>
        <w:pStyle w:val="FootnoteText"/>
      </w:pPr>
      <w:r w:rsidRPr="00371644">
        <w:rPr>
          <w:rStyle w:val="FootnoteReference"/>
          <w:rFonts w:cs="Times New Roman"/>
        </w:rPr>
        <w:footnoteRef/>
      </w:r>
      <w:r w:rsidRPr="00371644">
        <w:t xml:space="preserve"> The phrase Chief Justice Mogoeng Mogoeng used ironically in paragraph 104 of</w:t>
      </w:r>
      <w:r w:rsidR="00E93CF4">
        <w:t xml:space="preserve"> </w:t>
      </w:r>
      <w:r w:rsidRPr="00371644">
        <w:rPr>
          <w:i/>
        </w:rPr>
        <w:t>Public Protector v South African Reserve Bank</w:t>
      </w:r>
      <w:r w:rsidRPr="00371644">
        <w:t xml:space="preserve"> [2019] ZACC 29 (22 July 2019)</w:t>
      </w:r>
      <w:r>
        <w:t xml:space="preserve"> </w:t>
      </w:r>
      <w:r w:rsidRPr="00371644">
        <w:t xml:space="preserve">in relation to the Reserve Bank </w:t>
      </w:r>
      <w:r>
        <w:t xml:space="preserve">as it operated </w:t>
      </w:r>
      <w:r w:rsidRPr="00371644">
        <w:t>during apartheid.</w:t>
      </w:r>
    </w:p>
  </w:footnote>
  <w:footnote w:id="5">
    <w:p w:rsidR="002A0259" w:rsidRPr="00371644" w:rsidRDefault="002A0259" w:rsidP="00CD4AB8">
      <w:pPr>
        <w:pStyle w:val="FootnoteText"/>
      </w:pPr>
      <w:r w:rsidRPr="00371644">
        <w:rPr>
          <w:rStyle w:val="FootnoteReference"/>
          <w:rFonts w:cs="Times New Roman"/>
        </w:rPr>
        <w:footnoteRef/>
      </w:r>
      <w:r w:rsidRPr="00371644">
        <w:t xml:space="preserve"> Against which general danger Mogoeng CJ warned in a talk quoted</w:t>
      </w:r>
      <w:r>
        <w:t xml:space="preserve"> by</w:t>
      </w:r>
      <w:r w:rsidRPr="00371644">
        <w:rPr>
          <w:i/>
        </w:rPr>
        <w:t xml:space="preserve"> The</w:t>
      </w:r>
      <w:r w:rsidR="00E93CF4">
        <w:rPr>
          <w:i/>
        </w:rPr>
        <w:t xml:space="preserve"> </w:t>
      </w:r>
      <w:r w:rsidRPr="00371644">
        <w:rPr>
          <w:i/>
        </w:rPr>
        <w:t>Mercury</w:t>
      </w:r>
      <w:r w:rsidRPr="00371644">
        <w:t xml:space="preserve"> on 18</w:t>
      </w:r>
      <w:r w:rsidR="00E93CF4">
        <w:t xml:space="preserve"> </w:t>
      </w:r>
      <w:r w:rsidRPr="00371644">
        <w:t>July 2019: ‘We have got to make it our business not to beatify others at the expense of others, not to make others untouchable, and not to allow anybody, including me, to be</w:t>
      </w:r>
      <w:r w:rsidR="00E93CF4">
        <w:t xml:space="preserve"> </w:t>
      </w:r>
      <w:r w:rsidRPr="00371644">
        <w:t>awarded an undeserved saintly status.’</w:t>
      </w:r>
    </w:p>
  </w:footnote>
  <w:footnote w:id="6">
    <w:p w:rsidR="002A0259" w:rsidRPr="00371644" w:rsidRDefault="002A0259" w:rsidP="00CD4AB8">
      <w:pPr>
        <w:pStyle w:val="FootnoteText"/>
      </w:pPr>
      <w:r w:rsidRPr="00371644">
        <w:rPr>
          <w:rStyle w:val="FootnoteReference"/>
        </w:rPr>
        <w:footnoteRef/>
      </w:r>
      <w:r w:rsidRPr="00371644">
        <w:t xml:space="preserve"> Although </w:t>
      </w:r>
      <w:r>
        <w:t>Mlambo</w:t>
      </w:r>
      <w:r w:rsidR="00E93CF4">
        <w:t xml:space="preserve"> </w:t>
      </w:r>
      <w:r>
        <w:t>JP and Vedalankar</w:t>
      </w:r>
      <w:r w:rsidRPr="00371644">
        <w:t xml:space="preserve"> </w:t>
      </w:r>
      <w:r>
        <w:t xml:space="preserve">have been </w:t>
      </w:r>
      <w:r w:rsidRPr="00371644">
        <w:t>succeeded</w:t>
      </w:r>
      <w:r>
        <w:t xml:space="preserve"> by new chairperson Makume J and new CEO Kola</w:t>
      </w:r>
      <w:r w:rsidRPr="00371644">
        <w:t>,</w:t>
      </w:r>
      <w:r>
        <w:t xml:space="preserve"> </w:t>
      </w:r>
      <w:r w:rsidRPr="00371644">
        <w:rPr>
          <w:i/>
        </w:rPr>
        <w:t>brevitas causa</w:t>
      </w:r>
      <w:r>
        <w:t xml:space="preserve"> they’ll</w:t>
      </w:r>
      <w:r w:rsidRPr="00371644">
        <w:t xml:space="preserve"> </w:t>
      </w:r>
      <w:r>
        <w:t>continue to be cited in this complaint a</w:t>
      </w:r>
      <w:r w:rsidRPr="00371644">
        <w:t>s chairperson and CEO</w:t>
      </w:r>
      <w:r>
        <w:t xml:space="preserve"> respectively</w:t>
      </w:r>
      <w:r w:rsidRPr="00371644">
        <w:t>.</w:t>
      </w:r>
    </w:p>
  </w:footnote>
  <w:footnote w:id="7">
    <w:p w:rsidR="002A0259" w:rsidRPr="00371644" w:rsidRDefault="002A0259" w:rsidP="00CD4AB8">
      <w:pPr>
        <w:pStyle w:val="FootnoteText"/>
      </w:pPr>
      <w:r w:rsidRPr="00371644">
        <w:rPr>
          <w:rStyle w:val="FootnoteReference"/>
        </w:rPr>
        <w:footnoteRef/>
      </w:r>
      <w:r w:rsidRPr="00371644">
        <w:t xml:space="preserve"> Thus all breaching section 15.1.5 of LASA’s Code of Conduct and Ethics (Bundle 2, page 780): ‘All employees must ... report any harmful activity they observe in the workplace’. The correspondence they disregarded will be </w:t>
      </w:r>
      <w:r>
        <w:t xml:space="preserve">put up with and </w:t>
      </w:r>
      <w:r w:rsidRPr="00371644">
        <w:t>treated in another part of this complaint to follow.</w:t>
      </w:r>
    </w:p>
  </w:footnote>
  <w:footnote w:id="8">
    <w:p w:rsidR="002A0259" w:rsidRDefault="002A0259" w:rsidP="00CD4AB8">
      <w:pPr>
        <w:pStyle w:val="FootnoteText"/>
      </w:pPr>
      <w:r>
        <w:rPr>
          <w:rStyle w:val="FootnoteReference"/>
        </w:rPr>
        <w:footnoteRef/>
      </w:r>
      <w:r>
        <w:t xml:space="preserve"> See note 7 above.</w:t>
      </w:r>
    </w:p>
  </w:footnote>
  <w:footnote w:id="9">
    <w:p w:rsidR="002A0259" w:rsidRPr="00371644" w:rsidRDefault="002A0259" w:rsidP="00CD4AB8">
      <w:pPr>
        <w:pStyle w:val="FootnoteText"/>
      </w:pPr>
      <w:r w:rsidRPr="00371644">
        <w:rPr>
          <w:rStyle w:val="FootnoteReference"/>
        </w:rPr>
        <w:footnoteRef/>
      </w:r>
      <w:r w:rsidRPr="00371644">
        <w:t xml:space="preserve"> Given the </w:t>
      </w:r>
      <w:r>
        <w:t xml:space="preserve">egregious </w:t>
      </w:r>
      <w:r w:rsidRPr="00371644">
        <w:t xml:space="preserve">corruption and ethical turpitude at LASA reported in this complaint, uncovered by </w:t>
      </w:r>
      <w:r>
        <w:t>a</w:t>
      </w:r>
      <w:r w:rsidRPr="00371644">
        <w:t xml:space="preserve"> limited investigation </w:t>
      </w:r>
      <w:r>
        <w:t xml:space="preserve">only </w:t>
      </w:r>
      <w:r w:rsidRPr="00371644">
        <w:t>of recruitment corruption and its cover-up, a comprehensive general forensic audit of LASA is likely to uncover much more.</w:t>
      </w:r>
    </w:p>
  </w:footnote>
  <w:footnote w:id="10">
    <w:p w:rsidR="002A0259" w:rsidRPr="00371644" w:rsidRDefault="002A0259" w:rsidP="00CD4AB8">
      <w:pPr>
        <w:pStyle w:val="FootnoteText"/>
      </w:pPr>
      <w:r w:rsidRPr="00371644">
        <w:rPr>
          <w:rStyle w:val="FootnoteReference"/>
        </w:rPr>
        <w:footnoteRef/>
      </w:r>
      <w:r w:rsidRPr="00371644">
        <w:t xml:space="preserve"> LASA’s annual report 2010/11 explains: ‘Legal Aid South Africa is governed by a Board of non-executive members commonly referred to as the Board of Directors. ... COMPOSITION OF THE BOARD AS AT 31ST MARCH 2010: JUDGE DUNSTAN MLAMBO ... Chairperson of the Board of Directors for Legal Aid South Africa since October 2002.’ Bundle 2, page 756. LASA’s annual report 2011/12 sets out the ‘Role and Function of the Board of Directors’: ‘The Board ... is responsible for</w:t>
      </w:r>
      <w:r>
        <w:t xml:space="preserve"> </w:t>
      </w:r>
      <w:r w:rsidRPr="00371644">
        <w:t xml:space="preserve">providing strategic direction and leadership, ensuring good corporate governance and ethics, determining policy, agreeing on performance criteria and delegating the detailed planning and implementation of policy to the Management Executive Committee.’ Bundle 2, page 1053, </w:t>
      </w:r>
      <w:r>
        <w:t>section</w:t>
      </w:r>
      <w:r w:rsidRPr="00371644">
        <w:t xml:space="preserve"> 2.2.3. As chairperson Mlambo JP explained in LASA’s annual report 2010/11, the Board of non-executive directors plays an ‘oversight role’. Bundle 2, page 1056.</w:t>
      </w:r>
    </w:p>
  </w:footnote>
  <w:footnote w:id="11">
    <w:p w:rsidR="002A0259" w:rsidRPr="00371644" w:rsidRDefault="002A0259" w:rsidP="00CD4AB8">
      <w:pPr>
        <w:pStyle w:val="FootnoteText"/>
      </w:pPr>
      <w:r w:rsidRPr="00371644">
        <w:rPr>
          <w:rStyle w:val="FootnoteReference"/>
          <w:rFonts w:cs="Times New Roman"/>
        </w:rPr>
        <w:footnoteRef/>
      </w:r>
      <w:r>
        <w:rPr>
          <w:vertAlign w:val="superscript"/>
        </w:rPr>
        <w:t xml:space="preserve"> </w:t>
      </w:r>
      <w:r w:rsidRPr="00371644">
        <w:t xml:space="preserve">President Cyril Ramaphosa deplored this common evil at public entities </w:t>
      </w:r>
      <w:r>
        <w:t>i</w:t>
      </w:r>
      <w:r w:rsidRPr="00371644">
        <w:t>n his State of the Nation Address on 16 February 2018: ‘We have found ... that board members get involved in operational measures. ... We will remove board members from any role in [them].’</w:t>
      </w:r>
    </w:p>
  </w:footnote>
  <w:footnote w:id="12">
    <w:p w:rsidR="002A0259" w:rsidRPr="00371644" w:rsidRDefault="002A0259" w:rsidP="00CD4AB8">
      <w:pPr>
        <w:pStyle w:val="FootnoteText"/>
      </w:pPr>
      <w:r w:rsidRPr="00371644">
        <w:rPr>
          <w:rStyle w:val="FootnoteReference"/>
        </w:rPr>
        <w:footnoteRef/>
      </w:r>
      <w:r w:rsidRPr="00371644">
        <w:t xml:space="preserve"> Per LASA’s Policies and Procedures on Recruitment, Induction, Probation and Relocation.</w:t>
      </w:r>
      <w:r>
        <w:t xml:space="preserve"> Bundle 1, pages 228–34.</w:t>
      </w:r>
    </w:p>
  </w:footnote>
  <w:footnote w:id="13">
    <w:p w:rsidR="002A0259" w:rsidRPr="00371644" w:rsidRDefault="002A0259" w:rsidP="00CD4AB8">
      <w:pPr>
        <w:pStyle w:val="FootnoteText"/>
      </w:pPr>
      <w:r w:rsidRPr="00371644">
        <w:rPr>
          <w:rStyle w:val="FootnoteReference"/>
        </w:rPr>
        <w:footnoteRef/>
      </w:r>
      <w:r w:rsidRPr="00371644">
        <w:t xml:space="preserve"> Per LASA’s Approval Framework.</w:t>
      </w:r>
      <w:r>
        <w:t xml:space="preserve"> Bundle 1, pages 225–7.</w:t>
      </w:r>
    </w:p>
  </w:footnote>
  <w:footnote w:id="14">
    <w:p w:rsidR="002A0259" w:rsidRPr="00371644" w:rsidRDefault="002A0259" w:rsidP="00CD4AB8">
      <w:pPr>
        <w:pStyle w:val="FootnoteText"/>
      </w:pPr>
      <w:r w:rsidRPr="00371644">
        <w:rPr>
          <w:rStyle w:val="FootnoteReference"/>
        </w:rPr>
        <w:footnoteRef/>
      </w:r>
      <w:r w:rsidRPr="00371644">
        <w:t xml:space="preserve"> </w:t>
      </w:r>
      <w:r>
        <w:t xml:space="preserve">Besides </w:t>
      </w:r>
      <w:r w:rsidRPr="00371644">
        <w:t>approving the appointment of LASA’s CEO</w:t>
      </w:r>
      <w:r>
        <w:t>, COO</w:t>
      </w:r>
      <w:r w:rsidRPr="00371644">
        <w:t xml:space="preserve"> and NOE, in committee with the rest of the Board.</w:t>
      </w:r>
      <w:r>
        <w:t xml:space="preserve"> Bundle, page 226, section 8.2.1.</w:t>
      </w:r>
    </w:p>
  </w:footnote>
  <w:footnote w:id="15">
    <w:p w:rsidR="002A0259" w:rsidRPr="00371644" w:rsidRDefault="002A0259" w:rsidP="00CD4AB8">
      <w:pPr>
        <w:pStyle w:val="FootnoteText"/>
      </w:pPr>
      <w:r w:rsidRPr="00371644">
        <w:rPr>
          <w:rStyle w:val="FootnoteReference"/>
        </w:rPr>
        <w:footnoteRef/>
      </w:r>
      <w:r w:rsidRPr="00371644">
        <w:t xml:space="preserve"> In favour of a professional colleague of his – </w:t>
      </w:r>
      <w:r>
        <w:t xml:space="preserve">to be </w:t>
      </w:r>
      <w:r w:rsidRPr="00371644">
        <w:t>canvassed in another part of this complaint to follow.</w:t>
      </w:r>
    </w:p>
  </w:footnote>
  <w:footnote w:id="16">
    <w:p w:rsidR="002A0259" w:rsidRPr="00371644" w:rsidRDefault="002A0259" w:rsidP="00CD4AB8">
      <w:pPr>
        <w:pStyle w:val="FootnoteText"/>
      </w:pPr>
      <w:r w:rsidRPr="00371644">
        <w:rPr>
          <w:rStyle w:val="FootnoteReference"/>
          <w:rFonts w:cs="Times New Roman"/>
        </w:rPr>
        <w:footnoteRef/>
      </w:r>
      <w:r w:rsidRPr="00371644">
        <w:t xml:space="preserve"> The Judicial Conduct Committee (‘JCC’) of the Judicial Service Commission (JSC’) is currently seized with eight gross misconduct complaints made under section 14 of the Judicial Service Commission Act 9 of 1994 against </w:t>
      </w:r>
      <w:r>
        <w:t xml:space="preserve">Board chairperson </w:t>
      </w:r>
      <w:r w:rsidRPr="00371644">
        <w:t xml:space="preserve">Mlambo JP concerning </w:t>
      </w:r>
      <w:r w:rsidRPr="002B617B">
        <w:rPr>
          <w:i/>
        </w:rPr>
        <w:t>inter alia</w:t>
      </w:r>
      <w:r w:rsidRPr="00371644">
        <w:t xml:space="preserve"> </w:t>
      </w:r>
      <w:r>
        <w:t xml:space="preserve">(a) </w:t>
      </w:r>
      <w:r w:rsidRPr="00371644">
        <w:t>his active collusion in and connivance at CEO and information officer Vedalankar’s (</w:t>
      </w:r>
      <w:r>
        <w:t xml:space="preserve">nominal, </w:t>
      </w:r>
      <w:r w:rsidRPr="00371644">
        <w:t xml:space="preserve">actually Hundermark’s) persistent illegal and unconstitutional suppression of records duly requested under section 18 of the Promotion of Access to Information Act 2 of 2000 (‘PAIA’) since 2010, and </w:t>
      </w:r>
      <w:r>
        <w:t xml:space="preserve">(b) </w:t>
      </w:r>
      <w:r w:rsidRPr="00371644">
        <w:t>his dishonest and deceptive</w:t>
      </w:r>
      <w:r>
        <w:t xml:space="preserve"> </w:t>
      </w:r>
      <w:r w:rsidRPr="00371644">
        <w:t xml:space="preserve">false ‘confidential’ </w:t>
      </w:r>
      <w:r>
        <w:t xml:space="preserve">written </w:t>
      </w:r>
      <w:r w:rsidRPr="00371644">
        <w:t>report to the Minister and then to the Justice Portfolio Committee to successfully pervert their separately and independently instituted enquiries (i)</w:t>
      </w:r>
      <w:r w:rsidRPr="00DC12B8">
        <w:t xml:space="preserve"> </w:t>
      </w:r>
      <w:r w:rsidRPr="00371644">
        <w:t>into</w:t>
      </w:r>
      <w:r w:rsidR="00E93CF4">
        <w:t xml:space="preserve"> </w:t>
      </w:r>
      <w:r w:rsidRPr="00371644">
        <w:t xml:space="preserve">the top-level recruitment corruption at LASA in question, in which report he advanced demonstrably objectively false reasons for the abortion of the Pietermaritzburg, Durban and Mthatha Senior Litigator recruitments (one </w:t>
      </w:r>
      <w:r>
        <w:t xml:space="preserve">false </w:t>
      </w:r>
      <w:r w:rsidRPr="00371644">
        <w:t>reason later retracted after being refuted and exposed, the other substituted with novel contradictory</w:t>
      </w:r>
      <w:r>
        <w:t xml:space="preserve"> r</w:t>
      </w:r>
      <w:r w:rsidRPr="00371644">
        <w:t>e</w:t>
      </w:r>
      <w:r>
        <w:t>asons</w:t>
      </w:r>
      <w:r w:rsidRPr="00371644">
        <w:t xml:space="preserve">); and (ii) into the said illegal and unconstitutional suppression of records exposing this corruption – later forced out of LASA through multiple pre-trial document discovery processes and multiple applications to court under section 78 of PAIA, the first five </w:t>
      </w:r>
      <w:r>
        <w:t xml:space="preserve">of them </w:t>
      </w:r>
      <w:r w:rsidRPr="00371644">
        <w:t xml:space="preserve">conceded </w:t>
      </w:r>
      <w:r>
        <w:t xml:space="preserve">by LASA </w:t>
      </w:r>
      <w:r w:rsidRPr="00371644">
        <w:t xml:space="preserve">at court. The complaints, Mlambo JP’s response to them, and the complainant’s invited comments on it </w:t>
      </w:r>
      <w:r>
        <w:t>can</w:t>
      </w:r>
      <w:r w:rsidRPr="00371644">
        <w:t xml:space="preserve"> be accessed </w:t>
      </w:r>
      <w:r>
        <w:t xml:space="preserve">online </w:t>
      </w:r>
      <w:r w:rsidRPr="00371644">
        <w:t>at illegal</w:t>
      </w:r>
      <w:r w:rsidRPr="00371644">
        <w:noBreakHyphen/>
        <w:t>aid.co.za/JSC. Further complaints</w:t>
      </w:r>
      <w:r w:rsidRPr="00327BE5">
        <w:t xml:space="preserve"> </w:t>
      </w:r>
      <w:r w:rsidRPr="00371644">
        <w:t>to the JCC against Mlambo JP will be lodged upon LASA’s release, under court order, of other duly requested documents</w:t>
      </w:r>
      <w:r>
        <w:t xml:space="preserve"> that </w:t>
      </w:r>
      <w:r w:rsidRPr="00371644">
        <w:t xml:space="preserve">Hundermark </w:t>
      </w:r>
      <w:r>
        <w:t xml:space="preserve">has </w:t>
      </w:r>
      <w:r w:rsidRPr="00371644">
        <w:t>illegally and unconstitutionally refused, initially in the name of his former immediate subordinate, Legal Executive Thembile Mtati</w:t>
      </w:r>
      <w:r>
        <w:t>,</w:t>
      </w:r>
      <w:r w:rsidRPr="00371644">
        <w:t xml:space="preserve"> and others, but more recently</w:t>
      </w:r>
      <w:r>
        <w:t>,</w:t>
      </w:r>
      <w:r w:rsidRPr="00371644">
        <w:t xml:space="preserve"> since Mtati’s resignation</w:t>
      </w:r>
      <w:r>
        <w:t>,</w:t>
      </w:r>
      <w:r w:rsidRPr="00371644">
        <w:t xml:space="preserve"> by Hundermark directly and personally.</w:t>
      </w:r>
    </w:p>
  </w:footnote>
  <w:footnote w:id="17">
    <w:p w:rsidR="002A0259" w:rsidRPr="00371644" w:rsidRDefault="002A0259" w:rsidP="00CD4AB8">
      <w:pPr>
        <w:pStyle w:val="FootnoteText"/>
      </w:pPr>
      <w:r w:rsidRPr="00371644">
        <w:rPr>
          <w:rStyle w:val="FootnoteReference"/>
        </w:rPr>
        <w:footnoteRef/>
      </w:r>
      <w:r w:rsidRPr="00371644">
        <w:t xml:space="preserve"> </w:t>
      </w:r>
      <w:r>
        <w:t>T</w:t>
      </w:r>
      <w:r w:rsidRPr="00371644">
        <w:t>he submission of this complaint</w:t>
      </w:r>
      <w:r>
        <w:t>, c</w:t>
      </w:r>
      <w:r w:rsidRPr="00371644">
        <w:t>ommenced years ago, has long been delayed by Hundermark’s determined concealment of incriminating records needed to complete it, followed by meritless, dilatory opposition to numerous necessary applications to court brought to compel their production, and by corruptly-motivated litigation he unsuccessfully brought to derail an application to compel full and proper compliance with his surrender treaty recording his total capitulation to the said first five applications – to be detailed in a another part of this complaint to follow</w:t>
      </w:r>
      <w:r>
        <w:t>,</w:t>
      </w:r>
      <w:r w:rsidRPr="00371644">
        <w:t xml:space="preserve"> regarding irregular, fruitless and wasteful expenditure. Several further High Court applications to compel Hundermark’s surrender of subsequently requested records are pending in the High Court. </w:t>
      </w:r>
      <w:r>
        <w:t>T</w:t>
      </w:r>
      <w:r w:rsidRPr="00371644">
        <w:t>o avoid further delay</w:t>
      </w:r>
      <w:r>
        <w:t>,</w:t>
      </w:r>
      <w:r w:rsidRPr="00371644">
        <w:t xml:space="preserve"> this complaint will be presented in separate parts, as and when the illegally and unconstitutionally withheld documents are disgorged by court order.</w:t>
      </w:r>
    </w:p>
  </w:footnote>
  <w:footnote w:id="18">
    <w:p w:rsidR="002A0259" w:rsidRDefault="002A0259" w:rsidP="00CD4AB8">
      <w:pPr>
        <w:pStyle w:val="FootnoteText"/>
      </w:pPr>
      <w:r>
        <w:rPr>
          <w:rStyle w:val="FootnoteReference"/>
        </w:rPr>
        <w:footnoteRef/>
      </w:r>
      <w:r>
        <w:t xml:space="preserve"> Annually to the South African Human Rights Commission (‘SAHRC’) under s</w:t>
      </w:r>
      <w:r w:rsidRPr="00DF17B7">
        <w:t xml:space="preserve">ection 32 of PAIA, for the misinformation of the </w:t>
      </w:r>
      <w:r>
        <w:t>SAHRC’s</w:t>
      </w:r>
      <w:r w:rsidRPr="00DF17B7">
        <w:t xml:space="preserve"> annual section 84</w:t>
      </w:r>
      <w:r>
        <w:t xml:space="preserve"> reports to the National Assembly on public body compliance with PAIA, and in a special confidential report submitted to the Justice Portfolio Committee in June 2011. In this fraudulent manner, LASA has misinformed the National Assembly about its compliance or otherwise with PAIA requests, and has defeated its constitutional oversight function, thereby evading being held to account for hiding information</w:t>
      </w:r>
      <w:r w:rsidRPr="00262095">
        <w:t xml:space="preserve"> </w:t>
      </w:r>
      <w:r>
        <w:t>illegally and unconstitutionally. All this is comprehensively dealt with in a ‘Special Report’ on LASA’s chronic PAIA delinquency filed with the SAHRC in late 2016, and is further described in court papers in litigation subsequently launched under PAIA to compel LASA’s delivery of duly requested records. The ‘Special Report’ and the said court papers are accessible online at illegal</w:t>
      </w:r>
      <w:r>
        <w:noBreakHyphen/>
        <w:t>aid.co.za/PAIA.</w:t>
      </w:r>
    </w:p>
  </w:footnote>
  <w:footnote w:id="19">
    <w:p w:rsidR="002A0259" w:rsidRDefault="002A0259" w:rsidP="00CD4AB8">
      <w:pPr>
        <w:pStyle w:val="FootnoteText"/>
      </w:pPr>
      <w:r>
        <w:rPr>
          <w:rStyle w:val="FootnoteReference"/>
        </w:rPr>
        <w:footnoteRef/>
      </w:r>
      <w:r>
        <w:t xml:space="preserve"> As then</w:t>
      </w:r>
      <w:r w:rsidRPr="00AB69BA">
        <w:t xml:space="preserve"> </w:t>
      </w:r>
      <w:r>
        <w:t>Board member</w:t>
      </w:r>
      <w:r w:rsidRPr="00AB69BA">
        <w:t xml:space="preserve"> Ela Gandhi </w:t>
      </w:r>
      <w:r>
        <w:t xml:space="preserve">put it appositely in </w:t>
      </w:r>
      <w:r w:rsidRPr="00AB69BA">
        <w:rPr>
          <w:i/>
        </w:rPr>
        <w:t>The Mercury</w:t>
      </w:r>
      <w:r>
        <w:t xml:space="preserve"> on</w:t>
      </w:r>
      <w:r w:rsidRPr="00AB69BA">
        <w:t xml:space="preserve"> 23 November 2011</w:t>
      </w:r>
      <w:r>
        <w:t>, ‘</w:t>
      </w:r>
      <w:r w:rsidRPr="00AB69BA">
        <w:t>It’s only when people have something they are not proud of that they try to hide things.</w:t>
      </w:r>
      <w:r>
        <w:t>’</w:t>
      </w:r>
    </w:p>
  </w:footnote>
  <w:footnote w:id="20">
    <w:p w:rsidR="002A0259" w:rsidRDefault="002A0259" w:rsidP="00CD4AB8">
      <w:pPr>
        <w:pStyle w:val="FootnoteText"/>
      </w:pPr>
      <w:r>
        <w:rPr>
          <w:rStyle w:val="FootnoteReference"/>
        </w:rPr>
        <w:footnoteRef/>
      </w:r>
      <w:r>
        <w:t xml:space="preserve"> All this will be detailed in another part of this complaint to follow.</w:t>
      </w:r>
    </w:p>
  </w:footnote>
  <w:footnote w:id="21">
    <w:p w:rsidR="002A0259" w:rsidRDefault="002A0259" w:rsidP="00CD4AB8">
      <w:pPr>
        <w:pStyle w:val="FootnoteText"/>
      </w:pPr>
      <w:r>
        <w:rPr>
          <w:rStyle w:val="FootnoteReference"/>
        </w:rPr>
        <w:footnoteRef/>
      </w:r>
      <w:r>
        <w:t xml:space="preserve"> Supported by the hard written evidence </w:t>
      </w:r>
      <w:r w:rsidR="00AB7E2D">
        <w:t xml:space="preserve">of this </w:t>
      </w:r>
      <w:r>
        <w:t>discovered in a court file, the complain</w:t>
      </w:r>
      <w:r w:rsidR="00AB7E2D">
        <w:t>t</w:t>
      </w:r>
      <w:r w:rsidR="00AB7E2D" w:rsidRPr="00AB7E2D">
        <w:t xml:space="preserve"> </w:t>
      </w:r>
      <w:r w:rsidR="00AB7E2D">
        <w:t>to the JSC about it</w:t>
      </w:r>
      <w:r>
        <w:t>, the judge’s response, and the complainant’s invited comments on it</w:t>
      </w:r>
      <w:r w:rsidR="00AB7E2D">
        <w:t>, identifying the likely perpetrator on the probabilities,</w:t>
      </w:r>
      <w:r>
        <w:t xml:space="preserve"> can all be accessed online at illegal</w:t>
      </w:r>
      <w:r>
        <w:noBreakHyphen/>
        <w:t>aid.co.za/JSC.</w:t>
      </w:r>
    </w:p>
  </w:footnote>
  <w:footnote w:id="22">
    <w:p w:rsidR="002A0259" w:rsidRPr="00371644" w:rsidRDefault="002A0259" w:rsidP="00CD4AB8">
      <w:pPr>
        <w:pStyle w:val="FootnoteText"/>
      </w:pPr>
      <w:r w:rsidRPr="00371644">
        <w:rPr>
          <w:rStyle w:val="FootnoteReference"/>
        </w:rPr>
        <w:footnoteRef/>
      </w:r>
      <w:r w:rsidRPr="00371644">
        <w:t xml:space="preserve"> Here, as elsewhere in this complaint, ellipsis in quotation is the complainant’s.</w:t>
      </w:r>
    </w:p>
  </w:footnote>
  <w:footnote w:id="23">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pages 990–1, paragraph 2.7.</w:t>
      </w:r>
    </w:p>
  </w:footnote>
  <w:footnote w:id="24">
    <w:p w:rsidR="00AB7E2D" w:rsidRPr="00371644" w:rsidRDefault="00AB7E2D" w:rsidP="00AB7E2D">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992, item 7</w:t>
      </w:r>
      <w:r>
        <w:rPr>
          <w:rFonts w:cs="Times New Roman"/>
        </w:rPr>
        <w:t>.</w:t>
      </w:r>
    </w:p>
  </w:footnote>
  <w:footnote w:id="25">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w:t>
      </w:r>
      <w:r w:rsidRPr="00371644">
        <w:rPr>
          <w:rStyle w:val="FootnoteReference"/>
          <w:rFonts w:cs="Times New Roman"/>
          <w:i/>
          <w:vertAlign w:val="baseline"/>
        </w:rPr>
        <w:t>Ibid</w:t>
      </w:r>
      <w:r w:rsidR="00AB7E2D">
        <w:rPr>
          <w:rStyle w:val="FootnoteReference"/>
          <w:rFonts w:cs="Times New Roman"/>
          <w:vertAlign w:val="baseline"/>
        </w:rPr>
        <w:t>:</w:t>
      </w:r>
      <w:r w:rsidR="00AB7E2D">
        <w:rPr>
          <w:rFonts w:cs="Times New Roman"/>
        </w:rPr>
        <w:t xml:space="preserve"> </w:t>
      </w:r>
      <w:r w:rsidR="00AB7E2D" w:rsidRPr="00371644">
        <w:rPr>
          <w:rStyle w:val="FootnoteReference"/>
          <w:rFonts w:cs="Times New Roman"/>
          <w:vertAlign w:val="baseline"/>
        </w:rPr>
        <w:t>page 992, item 7</w:t>
      </w:r>
      <w:r w:rsidR="00AB7E2D">
        <w:rPr>
          <w:rFonts w:cs="Times New Roman"/>
        </w:rPr>
        <w:t>.</w:t>
      </w:r>
      <w:r w:rsidR="00AB7E2D" w:rsidRPr="00371644">
        <w:rPr>
          <w:rStyle w:val="FootnoteReference"/>
          <w:rFonts w:cs="Times New Roman"/>
          <w:vertAlign w:val="baseline"/>
        </w:rPr>
        <w:t xml:space="preserve"> ‘Funding available’</w:t>
      </w:r>
      <w:r w:rsidR="00AB7E2D" w:rsidRPr="00371644">
        <w:t xml:space="preserve"> noted in the right margin</w:t>
      </w:r>
      <w:r w:rsidR="00AB7E2D" w:rsidRPr="00371644">
        <w:rPr>
          <w:rStyle w:val="FootnoteReference"/>
          <w:rFonts w:cs="Times New Roman"/>
          <w:vertAlign w:val="baseline"/>
        </w:rPr>
        <w:t>; page 989, second</w:t>
      </w:r>
      <w:r w:rsidR="00AB7E2D">
        <w:rPr>
          <w:rFonts w:cs="Times New Roman"/>
        </w:rPr>
        <w:t> </w:t>
      </w:r>
      <w:r w:rsidR="00AE7711">
        <w:rPr>
          <w:rStyle w:val="FootnoteReference"/>
          <w:rFonts w:cs="Times New Roman"/>
          <w:vertAlign w:val="baseline"/>
        </w:rPr>
        <w:t xml:space="preserve">paragraph; and </w:t>
      </w:r>
      <w:r w:rsidRPr="00371644">
        <w:rPr>
          <w:rStyle w:val="FootnoteReference"/>
          <w:rFonts w:cs="Times New Roman"/>
          <w:vertAlign w:val="baseline"/>
        </w:rPr>
        <w:t>pages 704–6.</w:t>
      </w:r>
    </w:p>
  </w:footnote>
  <w:footnote w:id="26">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702.</w:t>
      </w:r>
      <w:r w:rsidRPr="00371644">
        <w:t xml:space="preserve"> In paragraph 4.1 of its answer to a pre-trial conference agenda listing facts for formal admission in case LC D529/11, LASA confirmed in October 2011</w:t>
      </w:r>
      <w:r>
        <w:t xml:space="preserve"> </w:t>
      </w:r>
      <w:r w:rsidRPr="00371644">
        <w:t>that ‘the Senior Litigator positions were created by Management and approved by the Board’. (</w:t>
      </w:r>
      <w:r>
        <w:t>More accurately,</w:t>
      </w:r>
      <w:r w:rsidRPr="00371644">
        <w:t xml:space="preserve"> they were ‘proposed’ by management</w:t>
      </w:r>
      <w:r>
        <w:t>.</w:t>
      </w:r>
      <w:r w:rsidRPr="00371644">
        <w:t xml:space="preserve"> Bundle 2, page 990, paragraph 2.7.)</w:t>
      </w:r>
    </w:p>
  </w:footnote>
  <w:footnote w:id="27">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537.</w:t>
      </w:r>
    </w:p>
  </w:footnote>
  <w:footnote w:id="28">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690.</w:t>
      </w:r>
    </w:p>
  </w:footnote>
  <w:footnote w:id="29">
    <w:p w:rsidR="002A0259" w:rsidRPr="00371644" w:rsidRDefault="002A0259" w:rsidP="00CD4AB8">
      <w:pPr>
        <w:pStyle w:val="FootnoteText"/>
      </w:pPr>
      <w:r w:rsidRPr="00371644">
        <w:rPr>
          <w:rStyle w:val="FootnoteReference"/>
        </w:rPr>
        <w:footnoteRef/>
      </w:r>
      <w:r w:rsidRPr="00371644">
        <w:t xml:space="preserve"> Bundle 1, page 433, penultimate paragraph.</w:t>
      </w:r>
    </w:p>
  </w:footnote>
  <w:footnote w:id="30">
    <w:p w:rsidR="002A0259" w:rsidRPr="00371644" w:rsidRDefault="002A0259" w:rsidP="00CD4AB8">
      <w:pPr>
        <w:pStyle w:val="FootnoteText"/>
      </w:pPr>
      <w:r w:rsidRPr="00371644">
        <w:rPr>
          <w:rStyle w:val="FootnoteReference"/>
        </w:rPr>
        <w:footnoteRef/>
      </w:r>
      <w:r w:rsidRPr="00371644">
        <w:t xml:space="preserve"> Bundle 1, page 441, thirteenth paragraph.</w:t>
      </w:r>
    </w:p>
  </w:footnote>
  <w:footnote w:id="31">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1021, paragraph 16.</w:t>
      </w:r>
    </w:p>
  </w:footnote>
  <w:footnote w:id="32">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690.</w:t>
      </w:r>
    </w:p>
  </w:footnote>
  <w:footnote w:id="33">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rPr>
        <w:t xml:space="preserve"> </w:t>
      </w:r>
      <w:r w:rsidRPr="00371644">
        <w:rPr>
          <w:rStyle w:val="FootnoteReference"/>
          <w:rFonts w:cs="Times New Roman"/>
          <w:vertAlign w:val="baseline"/>
        </w:rPr>
        <w:t>Bundle 2, page 1036, section 8.2.2 (b).</w:t>
      </w:r>
    </w:p>
  </w:footnote>
  <w:footnote w:id="34">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733: </w:t>
      </w:r>
      <w:r w:rsidRPr="00371644">
        <w:t>‘</w:t>
      </w:r>
      <w:r w:rsidRPr="00371644">
        <w:rPr>
          <w:rStyle w:val="FootnoteReference"/>
          <w:rFonts w:cs="Times New Roman"/>
          <w:vertAlign w:val="baseline"/>
        </w:rPr>
        <w:t>through positions such as senior litigator’ for ‘employees to advance into’.</w:t>
      </w:r>
    </w:p>
  </w:footnote>
  <w:footnote w:id="35">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w:t>
      </w:r>
      <w:r w:rsidRPr="00371644">
        <w:t xml:space="preserve">Bundle 1, page 253. </w:t>
      </w:r>
      <w:r>
        <w:t>P</w:t>
      </w:r>
      <w:r w:rsidRPr="00371644">
        <w:t xml:space="preserve">aragraph 2.2.b </w:t>
      </w:r>
      <w:r>
        <w:t xml:space="preserve">of </w:t>
      </w:r>
      <w:r w:rsidRPr="00371644">
        <w:t xml:space="preserve">this </w:t>
      </w:r>
      <w:r>
        <w:t>‘</w:t>
      </w:r>
      <w:r w:rsidRPr="00371644">
        <w:t>Report to Board</w:t>
      </w:r>
      <w:r>
        <w:t>’</w:t>
      </w:r>
      <w:r w:rsidRPr="00371644">
        <w:t xml:space="preserve"> distinguished between ‘critical positions’ and LASA’s many public defender posts serving</w:t>
      </w:r>
      <w:r>
        <w:t xml:space="preserve"> the lower criminal</w:t>
      </w:r>
      <w:r w:rsidRPr="00371644">
        <w:t xml:space="preserve"> ‘District Courts and Regional Courts.’ </w:t>
      </w:r>
      <w:r>
        <w:t>P</w:t>
      </w:r>
      <w:r w:rsidRPr="00371644">
        <w:rPr>
          <w:rStyle w:val="FootnoteReference"/>
          <w:rFonts w:cs="Times New Roman"/>
          <w:vertAlign w:val="baseline"/>
        </w:rPr>
        <w:t>aragraph 48.9</w:t>
      </w:r>
      <w:r>
        <w:rPr>
          <w:rFonts w:cs="Times New Roman"/>
        </w:rPr>
        <w:t xml:space="preserve"> of </w:t>
      </w:r>
      <w:r w:rsidRPr="00371644">
        <w:t>LASA’s o</w:t>
      </w:r>
      <w:r w:rsidRPr="00371644">
        <w:rPr>
          <w:rStyle w:val="FootnoteReference"/>
          <w:rFonts w:cs="Times New Roman"/>
          <w:vertAlign w:val="baseline"/>
        </w:rPr>
        <w:t>riginal response</w:t>
      </w:r>
      <w:r w:rsidRPr="00371644">
        <w:t xml:space="preserve"> (plea) to the original statement of claim in</w:t>
      </w:r>
      <w:r w:rsidRPr="00371644">
        <w:rPr>
          <w:rStyle w:val="FootnoteReference"/>
          <w:rFonts w:cs="Times New Roman"/>
          <w:vertAlign w:val="baseline"/>
        </w:rPr>
        <w:t xml:space="preserve"> case LC</w:t>
      </w:r>
      <w:r w:rsidR="00E93CF4">
        <w:t xml:space="preserve"> </w:t>
      </w:r>
      <w:r w:rsidRPr="00371644">
        <w:rPr>
          <w:rStyle w:val="FootnoteReference"/>
          <w:rFonts w:cs="Times New Roman"/>
          <w:vertAlign w:val="baseline"/>
        </w:rPr>
        <w:t>D529/11</w:t>
      </w:r>
      <w:r w:rsidRPr="00371644">
        <w:t xml:space="preserve"> referred</w:t>
      </w:r>
      <w:r w:rsidRPr="00371644">
        <w:rPr>
          <w:rStyle w:val="FootnoteReference"/>
          <w:rFonts w:cs="Times New Roman"/>
          <w:vertAlign w:val="baseline"/>
        </w:rPr>
        <w:t xml:space="preserve"> </w:t>
      </w:r>
      <w:r w:rsidRPr="00371644">
        <w:t>in to ‘the critical position of High Court [senior] litigator’</w:t>
      </w:r>
      <w:r>
        <w:t>. I</w:t>
      </w:r>
      <w:r w:rsidRPr="00371644">
        <w:t>n paragraph 43.1 of its answer to the facts listed for admission in the pre-trial conference agenda, LASA ‘Agreed’ the proposition that ‘The Pietermaritzburg Senior Litigator post is “a critical position”’.</w:t>
      </w:r>
    </w:p>
  </w:footnote>
  <w:footnote w:id="36">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 </w:t>
      </w:r>
      <w:r w:rsidRPr="00371644">
        <w:t>pages 1073–92: These documents are LASA’s consolidated budget applications and its specific budget applications for Senior Litigator salaries over the period February 2010 to October 2013. D</w:t>
      </w:r>
      <w:r w:rsidRPr="00371644">
        <w:rPr>
          <w:rStyle w:val="FootnoteReference"/>
          <w:vertAlign w:val="baseline"/>
        </w:rPr>
        <w:t>uly requested under P</w:t>
      </w:r>
      <w:r w:rsidRPr="00371644">
        <w:t>AIA, other such budget applications</w:t>
      </w:r>
      <w:r w:rsidRPr="00371644">
        <w:rPr>
          <w:rStyle w:val="FootnoteReference"/>
          <w:vertAlign w:val="baseline"/>
        </w:rPr>
        <w:t xml:space="preserve"> for other years</w:t>
      </w:r>
      <w:r w:rsidRPr="00371644">
        <w:t xml:space="preserve"> have been illegally and unconstitutionally </w:t>
      </w:r>
      <w:r w:rsidRPr="00371644">
        <w:rPr>
          <w:rStyle w:val="FootnoteReference"/>
          <w:vertAlign w:val="baseline"/>
        </w:rPr>
        <w:t>s</w:t>
      </w:r>
      <w:r w:rsidRPr="00371644">
        <w:t xml:space="preserve">uppressed by Hundermark to obstruct this corruption investigation, </w:t>
      </w:r>
      <w:r w:rsidRPr="00371644">
        <w:rPr>
          <w:rStyle w:val="FootnoteReference"/>
          <w:vertAlign w:val="baseline"/>
        </w:rPr>
        <w:t xml:space="preserve">and litigation </w:t>
      </w:r>
      <w:r w:rsidRPr="00371644">
        <w:t xml:space="preserve">is pending in the Pietermaritzburg High Court to </w:t>
      </w:r>
      <w:r w:rsidRPr="00371644">
        <w:rPr>
          <w:rStyle w:val="FootnoteReference"/>
          <w:vertAlign w:val="baseline"/>
        </w:rPr>
        <w:t>compel their production</w:t>
      </w:r>
      <w:r w:rsidRPr="00371644">
        <w:t xml:space="preserve"> (case 5239/18P). </w:t>
      </w:r>
      <w:r>
        <w:t>Meanwhile t</w:t>
      </w:r>
      <w:r w:rsidRPr="00371644">
        <w:t>he Auditor-General has ‘full and unrestricted access to’ these further financial records</w:t>
      </w:r>
      <w:r w:rsidRPr="00D77020">
        <w:t xml:space="preserve"> </w:t>
      </w:r>
      <w:r>
        <w:t>u</w:t>
      </w:r>
      <w:r w:rsidRPr="00371644">
        <w:t>nder section 15 of the PAA.</w:t>
      </w:r>
    </w:p>
  </w:footnote>
  <w:footnote w:id="37">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w:t>
      </w:r>
      <w:r w:rsidRPr="00371644">
        <w:t>Bundle 3, page</w:t>
      </w:r>
      <w:r w:rsidR="00E93CF4">
        <w:t xml:space="preserve"> </w:t>
      </w:r>
      <w:r w:rsidRPr="00371644">
        <w:t>1093. These employment statistics show LASA’s employment of six Senior Litigators as at March 2012. (The falsity of the ‘frozen’</w:t>
      </w:r>
      <w:r w:rsidRPr="00F048C0">
        <w:t xml:space="preserve"> </w:t>
      </w:r>
      <w:r w:rsidRPr="00371644">
        <w:t xml:space="preserve">entry for the Durban, Pietermaritzburg and Kimberley Senior Litigator posts is discussed below.) Hundermark </w:t>
      </w:r>
      <w:r>
        <w:t>is also hiding</w:t>
      </w:r>
      <w:r w:rsidRPr="00371644">
        <w:t xml:space="preserve"> payment vouchers reflecting the Department’s transfer </w:t>
      </w:r>
      <w:r>
        <w:t xml:space="preserve">to LASA of its </w:t>
      </w:r>
      <w:r w:rsidRPr="00371644">
        <w:t>baseline budgets,</w:t>
      </w:r>
      <w:r w:rsidRPr="00371644">
        <w:rPr>
          <w:rStyle w:val="FootnoteReference"/>
          <w:vertAlign w:val="baseline"/>
        </w:rPr>
        <w:t xml:space="preserve"> and </w:t>
      </w:r>
      <w:r w:rsidRPr="00371644">
        <w:t>High Court</w:t>
      </w:r>
      <w:r w:rsidRPr="00371644">
        <w:rPr>
          <w:rStyle w:val="FootnoteReference"/>
          <w:vertAlign w:val="baseline"/>
        </w:rPr>
        <w:t xml:space="preserve"> litigation </w:t>
      </w:r>
      <w:r w:rsidRPr="00371644">
        <w:t xml:space="preserve">is pending to </w:t>
      </w:r>
      <w:r w:rsidRPr="00371644">
        <w:rPr>
          <w:rStyle w:val="FootnoteReference"/>
          <w:vertAlign w:val="baseline"/>
        </w:rPr>
        <w:t>compel their p</w:t>
      </w:r>
      <w:r w:rsidRPr="00371644">
        <w:t>roduction (case 5239/18P)</w:t>
      </w:r>
      <w:r w:rsidRPr="00371644">
        <w:rPr>
          <w:rStyle w:val="FootnoteReference"/>
          <w:vertAlign w:val="baseline"/>
        </w:rPr>
        <w:t>.</w:t>
      </w:r>
      <w:r w:rsidRPr="00371644">
        <w:t xml:space="preserve"> As said, under section 15 of the PAA the Auditor-General can readily access these records </w:t>
      </w:r>
      <w:r>
        <w:t xml:space="preserve">to confirm that all nine of LASA’s Senior Litigator posts have always been and still are funded by the Treasury via the Department’s Third Party Funds directorate </w:t>
      </w:r>
      <w:r w:rsidRPr="00371644">
        <w:t>.</w:t>
      </w:r>
    </w:p>
  </w:footnote>
  <w:footnote w:id="38">
    <w:p w:rsidR="002A0259" w:rsidRPr="00371644" w:rsidRDefault="002A0259" w:rsidP="00CD4AB8">
      <w:pPr>
        <w:pStyle w:val="FootnoteText"/>
      </w:pPr>
      <w:r w:rsidRPr="00371644">
        <w:rPr>
          <w:rStyle w:val="FootnoteReference"/>
        </w:rPr>
        <w:footnoteRef/>
      </w:r>
      <w:r w:rsidRPr="00371644">
        <w:t xml:space="preserve"> </w:t>
      </w:r>
      <w:r>
        <w:t>T</w:t>
      </w:r>
      <w:r w:rsidRPr="00371644">
        <w:t>h</w:t>
      </w:r>
      <w:r>
        <w:t>is</w:t>
      </w:r>
      <w:r w:rsidRPr="00371644">
        <w:t xml:space="preserve"> Select Committee was the precursor </w:t>
      </w:r>
      <w:r>
        <w:t>of</w:t>
      </w:r>
      <w:r w:rsidRPr="00371644">
        <w:t xml:space="preserve"> the Portfolio Committee on Justice and Constitutional Development, now named the Portfolio Committee on Justice and Correctional Services.</w:t>
      </w:r>
    </w:p>
  </w:footnote>
  <w:footnote w:id="39">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816.</w:t>
      </w:r>
    </w:p>
  </w:footnote>
  <w:footnote w:id="40">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1048, penultimate paragraph.</w:t>
      </w:r>
    </w:p>
  </w:footnote>
  <w:footnote w:id="41">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1049, first paragraph.</w:t>
      </w:r>
    </w:p>
  </w:footnote>
  <w:footnote w:id="42">
    <w:p w:rsidR="002A0259" w:rsidRPr="00371644" w:rsidRDefault="002A0259" w:rsidP="00CD4AB8">
      <w:pPr>
        <w:pStyle w:val="FootnoteText"/>
      </w:pPr>
      <w:r w:rsidRPr="00371644">
        <w:rPr>
          <w:rStyle w:val="FootnoteReference"/>
        </w:rPr>
        <w:footnoteRef/>
      </w:r>
      <w:r w:rsidRPr="00371644">
        <w:t xml:space="preserve"> R</w:t>
      </w:r>
      <w:r w:rsidRPr="00371644">
        <w:rPr>
          <w:rStyle w:val="FootnoteReference"/>
          <w:vertAlign w:val="baseline"/>
        </w:rPr>
        <w:t xml:space="preserve">eported on 12 </w:t>
      </w:r>
      <w:r w:rsidRPr="00371644">
        <w:t>October 2010.</w:t>
      </w:r>
    </w:p>
  </w:footnote>
  <w:footnote w:id="43">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pages 960 and 962.</w:t>
      </w:r>
    </w:p>
  </w:footnote>
  <w:footnote w:id="44">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1003.</w:t>
      </w:r>
    </w:p>
  </w:footnote>
  <w:footnote w:id="45">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Paragraph 9</w:t>
      </w:r>
      <w:r w:rsidRPr="00371644">
        <w:t xml:space="preserve"> of LASA’s o</w:t>
      </w:r>
      <w:r w:rsidRPr="00371644">
        <w:rPr>
          <w:rStyle w:val="FootnoteReference"/>
          <w:rFonts w:cs="Times New Roman"/>
          <w:vertAlign w:val="baseline"/>
        </w:rPr>
        <w:t xml:space="preserve">riginal response to </w:t>
      </w:r>
      <w:r w:rsidRPr="00371644">
        <w:t xml:space="preserve">the </w:t>
      </w:r>
      <w:r w:rsidRPr="00371644">
        <w:rPr>
          <w:rStyle w:val="FootnoteReference"/>
          <w:rFonts w:cs="Times New Roman"/>
          <w:vertAlign w:val="baseline"/>
        </w:rPr>
        <w:t>original statement of claim</w:t>
      </w:r>
      <w:r>
        <w:t xml:space="preserve"> in </w:t>
      </w:r>
      <w:r w:rsidRPr="00371644">
        <w:t xml:space="preserve">LC D529/11. </w:t>
      </w:r>
    </w:p>
  </w:footnote>
  <w:footnote w:id="46">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w:t>
      </w:r>
      <w:r w:rsidRPr="00371644">
        <w:t>, page 1</w:t>
      </w:r>
      <w:r>
        <w:t>108</w:t>
      </w:r>
      <w:r w:rsidRPr="00371644">
        <w:t>.</w:t>
      </w:r>
    </w:p>
  </w:footnote>
  <w:footnote w:id="47">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w:t>
      </w:r>
      <w:r w:rsidRPr="00371644">
        <w:t>, page 1</w:t>
      </w:r>
      <w:r>
        <w:t>110</w:t>
      </w:r>
      <w:r w:rsidRPr="00371644">
        <w:t>.</w:t>
      </w:r>
    </w:p>
  </w:footnote>
  <w:footnote w:id="48">
    <w:p w:rsidR="002A0259" w:rsidRDefault="002A0259" w:rsidP="00CD4AB8">
      <w:pPr>
        <w:pStyle w:val="FootnoteText"/>
      </w:pPr>
      <w:r>
        <w:rPr>
          <w:rStyle w:val="FootnoteReference"/>
        </w:rPr>
        <w:footnoteRef/>
      </w:r>
      <w:r>
        <w:t xml:space="preserve"> Bundle 2, pages 770–80.</w:t>
      </w:r>
    </w:p>
  </w:footnote>
  <w:footnote w:id="49">
    <w:p w:rsidR="002A0259" w:rsidRPr="00371644" w:rsidRDefault="002A0259" w:rsidP="00CD4AB8">
      <w:pPr>
        <w:pStyle w:val="FootnoteText"/>
      </w:pPr>
      <w:r w:rsidRPr="00371644">
        <w:rPr>
          <w:rStyle w:val="FootnoteReference"/>
        </w:rPr>
        <w:footnoteRef/>
      </w:r>
      <w:r w:rsidRPr="00371644">
        <w:t xml:space="preserve"> Bundle 2, page 820.</w:t>
      </w:r>
    </w:p>
  </w:footnote>
  <w:footnote w:id="50">
    <w:p w:rsidR="002A0259" w:rsidRPr="00371644" w:rsidRDefault="002A0259" w:rsidP="00CD4AB8">
      <w:pPr>
        <w:pStyle w:val="FootnoteText"/>
      </w:pPr>
      <w:r w:rsidRPr="00371644">
        <w:rPr>
          <w:rStyle w:val="FootnoteReference"/>
        </w:rPr>
        <w:footnoteRef/>
      </w:r>
      <w:r w:rsidRPr="00371644">
        <w:t xml:space="preserve"> LASA volunteered that it was ‘a report by the COO to the Board’</w:t>
      </w:r>
      <w:r>
        <w:t xml:space="preserve"> in</w:t>
      </w:r>
      <w:r w:rsidRPr="00371644">
        <w:t xml:space="preserve"> paragraph 17 of its original response to the original statement of claim in case LC</w:t>
      </w:r>
      <w:r w:rsidR="00E93CF4">
        <w:t xml:space="preserve"> </w:t>
      </w:r>
      <w:r w:rsidRPr="00371644">
        <w:t>D529/11.</w:t>
      </w:r>
    </w:p>
  </w:footnote>
  <w:footnote w:id="51">
    <w:p w:rsidR="002A0259" w:rsidRPr="00371644" w:rsidRDefault="002A0259" w:rsidP="00CD4AB8">
      <w:pPr>
        <w:pStyle w:val="FootnoteText"/>
      </w:pPr>
      <w:r w:rsidRPr="00371644">
        <w:rPr>
          <w:rStyle w:val="FootnoteReference"/>
        </w:rPr>
        <w:footnoteRef/>
      </w:r>
      <w:r w:rsidRPr="00371644">
        <w:t xml:space="preserve"> Bundle 1, pages 253, paragraph 2.2.(a); and page 254, paragraph 4.II.</w:t>
      </w:r>
    </w:p>
  </w:footnote>
  <w:footnote w:id="52">
    <w:p w:rsidR="002A0259" w:rsidRPr="00371644" w:rsidRDefault="002A0259" w:rsidP="00CD4AB8">
      <w:pPr>
        <w:pStyle w:val="FootnoteText"/>
      </w:pPr>
      <w:r w:rsidRPr="00371644">
        <w:rPr>
          <w:rStyle w:val="FootnoteReference"/>
        </w:rPr>
        <w:footnoteRef/>
      </w:r>
      <w:r w:rsidRPr="00371644">
        <w:t xml:space="preserve"> Bundle 1, page 252, paragraph 1.2.</w:t>
      </w:r>
    </w:p>
  </w:footnote>
  <w:footnote w:id="53">
    <w:p w:rsidR="002A0259" w:rsidRPr="00371644" w:rsidRDefault="002A0259" w:rsidP="00CD4AB8">
      <w:pPr>
        <w:pStyle w:val="FootnoteText"/>
      </w:pPr>
      <w:r w:rsidRPr="00371644">
        <w:rPr>
          <w:rStyle w:val="FootnoteReference"/>
        </w:rPr>
        <w:footnoteRef/>
      </w:r>
      <w:r w:rsidRPr="00371644">
        <w:t xml:space="preserve"> Bundle 1, page 236, paragraph 6.</w:t>
      </w:r>
    </w:p>
  </w:footnote>
  <w:footnote w:id="54">
    <w:p w:rsidR="002A0259" w:rsidRPr="00371644" w:rsidRDefault="002A0259" w:rsidP="00CD4AB8">
      <w:pPr>
        <w:pStyle w:val="FootnoteText"/>
      </w:pPr>
      <w:r w:rsidRPr="00371644">
        <w:rPr>
          <w:rStyle w:val="FootnoteReference"/>
        </w:rPr>
        <w:footnoteRef/>
      </w:r>
      <w:r w:rsidRPr="00371644">
        <w:t xml:space="preserve"> Bundle 2, page 849, last paragraph.</w:t>
      </w:r>
    </w:p>
  </w:footnote>
  <w:footnote w:id="55">
    <w:p w:rsidR="002A0259" w:rsidRPr="00371644" w:rsidRDefault="002A0259" w:rsidP="00CD4AB8">
      <w:pPr>
        <w:pStyle w:val="FootnoteText"/>
      </w:pPr>
      <w:r w:rsidRPr="00371644">
        <w:rPr>
          <w:rStyle w:val="FootnoteReference"/>
        </w:rPr>
        <w:footnoteRef/>
      </w:r>
      <w:r w:rsidRPr="00371644">
        <w:t xml:space="preserve"> Bundle 2, page 847.</w:t>
      </w:r>
    </w:p>
  </w:footnote>
  <w:footnote w:id="56">
    <w:p w:rsidR="002A0259" w:rsidRPr="00371644" w:rsidRDefault="002A0259" w:rsidP="00CD4AB8">
      <w:pPr>
        <w:pStyle w:val="FootnoteText"/>
      </w:pPr>
      <w:r w:rsidRPr="00371644">
        <w:rPr>
          <w:rStyle w:val="FootnoteReference"/>
        </w:rPr>
        <w:footnoteRef/>
      </w:r>
      <w:r w:rsidRPr="00371644">
        <w:t xml:space="preserve"> Bundle 2, page 713.</w:t>
      </w:r>
    </w:p>
  </w:footnote>
  <w:footnote w:id="57">
    <w:p w:rsidR="002A0259" w:rsidRPr="00371644" w:rsidRDefault="002A0259" w:rsidP="00CD4AB8">
      <w:pPr>
        <w:pStyle w:val="FootnoteText"/>
      </w:pPr>
      <w:r w:rsidRPr="00371644">
        <w:rPr>
          <w:rStyle w:val="FootnoteReference"/>
        </w:rPr>
        <w:footnoteRef/>
      </w:r>
      <w:r w:rsidRPr="00371644">
        <w:t xml:space="preserve"> Bundle 1, page 184.</w:t>
      </w:r>
    </w:p>
  </w:footnote>
  <w:footnote w:id="58">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1053.</w:t>
      </w:r>
    </w:p>
  </w:footnote>
  <w:footnote w:id="59">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435, last paragraph.</w:t>
      </w:r>
    </w:p>
  </w:footnote>
  <w:footnote w:id="60">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452, second point.</w:t>
      </w:r>
    </w:p>
  </w:footnote>
  <w:footnote w:id="61">
    <w:p w:rsidR="002A0259" w:rsidRPr="00371644" w:rsidRDefault="002A0259" w:rsidP="00CD4AB8">
      <w:pPr>
        <w:pStyle w:val="FootnoteText"/>
      </w:pPr>
      <w:r w:rsidRPr="00371644">
        <w:rPr>
          <w:rStyle w:val="FootnoteReference"/>
        </w:rPr>
        <w:footnoteRef/>
      </w:r>
      <w:r w:rsidRPr="00371644">
        <w:t xml:space="preserve"> Bundle 2, page 1053.</w:t>
      </w:r>
    </w:p>
  </w:footnote>
  <w:footnote w:id="62">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w:t>
      </w:r>
      <w:r w:rsidRPr="00371644">
        <w:t>, page 11</w:t>
      </w:r>
      <w:r>
        <w:t>13</w:t>
      </w:r>
      <w:r w:rsidRPr="00371644">
        <w:t>.</w:t>
      </w:r>
    </w:p>
  </w:footnote>
  <w:footnote w:id="63">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w:t>
      </w:r>
      <w:r w:rsidRPr="00371644">
        <w:t>Bundle 3, page 1</w:t>
      </w:r>
      <w:r>
        <w:t>107</w:t>
      </w:r>
      <w:r w:rsidRPr="00371644">
        <w:rPr>
          <w:rStyle w:val="FootnoteReference"/>
          <w:rFonts w:cs="Times New Roman"/>
          <w:vertAlign w:val="baseline"/>
        </w:rPr>
        <w:t>.</w:t>
      </w:r>
    </w:p>
  </w:footnote>
  <w:footnote w:id="64">
    <w:p w:rsidR="002A0259" w:rsidRPr="00371644" w:rsidRDefault="002A0259" w:rsidP="00CD4AB8">
      <w:pPr>
        <w:pStyle w:val="FootnoteText"/>
      </w:pPr>
      <w:r w:rsidRPr="00371644">
        <w:rPr>
          <w:rStyle w:val="FootnoteReference"/>
        </w:rPr>
        <w:footnoteRef/>
      </w:r>
      <w:r w:rsidRPr="00371644">
        <w:t xml:space="preserve"> Bundle 3, page 11</w:t>
      </w:r>
      <w:r>
        <w:t>01</w:t>
      </w:r>
      <w:r w:rsidRPr="00371644">
        <w:t>.</w:t>
      </w:r>
    </w:p>
  </w:footnote>
  <w:footnote w:id="65">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767, section 2.3.</w:t>
      </w:r>
    </w:p>
  </w:footnote>
  <w:footnote w:id="66">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767–8.</w:t>
      </w:r>
    </w:p>
  </w:footnote>
  <w:footnote w:id="67">
    <w:p w:rsidR="002A0259" w:rsidRPr="00371644" w:rsidRDefault="002A0259" w:rsidP="00CD4AB8">
      <w:pPr>
        <w:pStyle w:val="FootnoteText"/>
      </w:pPr>
      <w:r w:rsidRPr="00371644">
        <w:rPr>
          <w:rStyle w:val="FootnoteReference"/>
        </w:rPr>
        <w:footnoteRef/>
      </w:r>
      <w:r w:rsidRPr="00371644">
        <w:t xml:space="preserve"> Bundle 1, page 427.</w:t>
      </w:r>
    </w:p>
  </w:footnote>
  <w:footnote w:id="68">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426, penultimate paragraph.</w:t>
      </w:r>
    </w:p>
  </w:footnote>
  <w:footnote w:id="69">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429.</w:t>
      </w:r>
    </w:p>
  </w:footnote>
  <w:footnote w:id="70">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444.</w:t>
      </w:r>
    </w:p>
  </w:footnote>
  <w:footnote w:id="71">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445, sections III and IV.</w:t>
      </w:r>
    </w:p>
  </w:footnote>
  <w:footnote w:id="72">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445, section XIV.</w:t>
      </w:r>
    </w:p>
  </w:footnote>
  <w:footnote w:id="73">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446, ‘Client &amp; Community’.</w:t>
      </w:r>
    </w:p>
  </w:footnote>
  <w:footnote w:id="74">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w:t>
      </w:r>
      <w:r w:rsidRPr="00371644">
        <w:rPr>
          <w:rStyle w:val="FootnoteReference"/>
          <w:rFonts w:cs="Times New Roman"/>
          <w:i/>
          <w:vertAlign w:val="baseline"/>
        </w:rPr>
        <w:t>Ibid</w:t>
      </w:r>
      <w:r w:rsidRPr="00371644">
        <w:rPr>
          <w:rStyle w:val="FootnoteReference"/>
          <w:rFonts w:cs="Times New Roman"/>
          <w:vertAlign w:val="baseline"/>
        </w:rPr>
        <w:t>.</w:t>
      </w:r>
    </w:p>
  </w:footnote>
  <w:footnote w:id="75">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447, Programme P5.</w:t>
      </w:r>
    </w:p>
  </w:footnote>
  <w:footnote w:id="76">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450, Programme P23.</w:t>
      </w:r>
    </w:p>
  </w:footnote>
  <w:footnote w:id="77">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450, Programme P24.</w:t>
      </w:r>
    </w:p>
  </w:footnote>
  <w:footnote w:id="78">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w:t>
      </w:r>
      <w:r w:rsidRPr="00371644">
        <w:rPr>
          <w:rStyle w:val="FootnoteReference"/>
          <w:rFonts w:cs="Times New Roman"/>
          <w:i/>
          <w:vertAlign w:val="baseline"/>
        </w:rPr>
        <w:t>Ibid</w:t>
      </w:r>
      <w:r w:rsidRPr="00371644">
        <w:rPr>
          <w:rStyle w:val="FootnoteReference"/>
          <w:rFonts w:cs="Times New Roman"/>
          <w:vertAlign w:val="baseline"/>
        </w:rPr>
        <w:t>.</w:t>
      </w:r>
    </w:p>
  </w:footnote>
  <w:footnote w:id="79">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452.</w:t>
      </w:r>
    </w:p>
  </w:footnote>
  <w:footnote w:id="80">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1, page 431; and bundle 2, page 821. </w:t>
      </w:r>
    </w:p>
  </w:footnote>
  <w:footnote w:id="81">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898, section 3</w:t>
      </w:r>
      <w:r w:rsidRPr="00371644">
        <w:t xml:space="preserve">; and </w:t>
      </w:r>
      <w:r w:rsidRPr="00371644">
        <w:rPr>
          <w:rStyle w:val="FootnoteReference"/>
          <w:rFonts w:cs="Times New Roman"/>
          <w:vertAlign w:val="baseline"/>
        </w:rPr>
        <w:t>paragraphs</w:t>
      </w:r>
      <w:r w:rsidRPr="00371644">
        <w:t xml:space="preserve"> </w:t>
      </w:r>
      <w:r w:rsidRPr="00371644">
        <w:rPr>
          <w:rStyle w:val="FootnoteReference"/>
          <w:rFonts w:cs="Times New Roman"/>
          <w:vertAlign w:val="baseline"/>
        </w:rPr>
        <w:t>2.2–3</w:t>
      </w:r>
      <w:r w:rsidRPr="00371644">
        <w:t xml:space="preserve"> of LASA’s </w:t>
      </w:r>
      <w:r w:rsidRPr="00371644">
        <w:rPr>
          <w:rStyle w:val="FootnoteReference"/>
          <w:rFonts w:cs="Times New Roman"/>
          <w:vertAlign w:val="baseline"/>
        </w:rPr>
        <w:t>response</w:t>
      </w:r>
      <w:r w:rsidRPr="00371644">
        <w:t xml:space="preserve"> to</w:t>
      </w:r>
      <w:r w:rsidRPr="00371644">
        <w:rPr>
          <w:rStyle w:val="FootnoteReference"/>
          <w:rFonts w:cs="Times New Roman"/>
          <w:vertAlign w:val="baseline"/>
        </w:rPr>
        <w:t xml:space="preserve"> paragraph 3.2</w:t>
      </w:r>
      <w:r w:rsidRPr="00371644">
        <w:t xml:space="preserve"> of f</w:t>
      </w:r>
      <w:r w:rsidRPr="00371644">
        <w:rPr>
          <w:rStyle w:val="FootnoteReference"/>
          <w:rFonts w:cs="Times New Roman"/>
          <w:vertAlign w:val="baseline"/>
        </w:rPr>
        <w:t>irst amended statement of claim</w:t>
      </w:r>
      <w:r w:rsidRPr="00371644">
        <w:t xml:space="preserve"> in c</w:t>
      </w:r>
      <w:r w:rsidRPr="00371644">
        <w:rPr>
          <w:rStyle w:val="FootnoteReference"/>
          <w:rFonts w:cs="Times New Roman"/>
          <w:vertAlign w:val="baseline"/>
        </w:rPr>
        <w:t>ase</w:t>
      </w:r>
      <w:r w:rsidRPr="00371644">
        <w:t xml:space="preserve"> </w:t>
      </w:r>
      <w:r w:rsidRPr="00371644">
        <w:rPr>
          <w:rStyle w:val="FootnoteReference"/>
          <w:rFonts w:cs="Times New Roman"/>
          <w:vertAlign w:val="baseline"/>
        </w:rPr>
        <w:t>LC D529/11.</w:t>
      </w:r>
    </w:p>
  </w:footnote>
  <w:footnote w:id="82">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w:t>
      </w:r>
      <w:r w:rsidRPr="00371644">
        <w:t>, page 1</w:t>
      </w:r>
      <w:r>
        <w:t>111</w:t>
      </w:r>
      <w:r w:rsidRPr="00371644">
        <w:t>, section S4, P4.</w:t>
      </w:r>
    </w:p>
  </w:footnote>
  <w:footnote w:id="83">
    <w:p w:rsidR="002A0259" w:rsidRPr="00371644" w:rsidRDefault="002A0259" w:rsidP="00CD4AB8">
      <w:pPr>
        <w:pStyle w:val="FootnoteText"/>
      </w:pPr>
      <w:r w:rsidRPr="00371644">
        <w:rPr>
          <w:rStyle w:val="FootnoteReference"/>
        </w:rPr>
        <w:footnoteRef/>
      </w:r>
      <w:r w:rsidRPr="00371644">
        <w:t xml:space="preserve"> Bundle 1, pages 43, 45, 46, and 537; and Bundle 2, page 732.</w:t>
      </w:r>
    </w:p>
  </w:footnote>
  <w:footnote w:id="84">
    <w:p w:rsidR="002A0259" w:rsidRPr="00371644" w:rsidRDefault="002A0259" w:rsidP="00CD4AB8">
      <w:pPr>
        <w:pStyle w:val="FootnoteText"/>
      </w:pPr>
      <w:r w:rsidRPr="00371644">
        <w:rPr>
          <w:rStyle w:val="FootnoteReference"/>
        </w:rPr>
        <w:footnoteRef/>
      </w:r>
      <w:r w:rsidRPr="00371644">
        <w:t xml:space="preserve"> Bundle 1, p</w:t>
      </w:r>
      <w:r w:rsidRPr="00371644">
        <w:rPr>
          <w:rFonts w:cs="Arial"/>
        </w:rPr>
        <w:t>age</w:t>
      </w:r>
      <w:r w:rsidRPr="00371644">
        <w:t xml:space="preserve"> 142, paragraph 153.</w:t>
      </w:r>
    </w:p>
  </w:footnote>
  <w:footnote w:id="85">
    <w:p w:rsidR="002A0259" w:rsidRPr="00371644" w:rsidRDefault="002A0259" w:rsidP="00CD4AB8">
      <w:pPr>
        <w:pStyle w:val="FootnoteText"/>
      </w:pPr>
      <w:r w:rsidRPr="00371644">
        <w:rPr>
          <w:rStyle w:val="FootnoteReference"/>
        </w:rPr>
        <w:footnoteRef/>
      </w:r>
      <w:r w:rsidRPr="00371644">
        <w:t xml:space="preserve"> Bundle 2, pages 825–6. </w:t>
      </w:r>
    </w:p>
  </w:footnote>
  <w:footnote w:id="86">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w:t>
      </w:r>
      <w:r w:rsidRPr="00371644">
        <w:t>, page 1</w:t>
      </w:r>
      <w:r>
        <w:t>109</w:t>
      </w:r>
      <w:r w:rsidRPr="00371644">
        <w:t>.</w:t>
      </w:r>
    </w:p>
  </w:footnote>
  <w:footnote w:id="87">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pages 990–1, paragraph 2.7.</w:t>
      </w:r>
    </w:p>
  </w:footnote>
  <w:footnote w:id="88">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2, page 816.</w:t>
      </w:r>
    </w:p>
  </w:footnote>
  <w:footnote w:id="89">
    <w:p w:rsidR="002A0259" w:rsidRPr="00371644" w:rsidRDefault="002A0259" w:rsidP="00CD4AB8">
      <w:pPr>
        <w:pStyle w:val="FootnoteText"/>
      </w:pPr>
      <w:r w:rsidRPr="00371644">
        <w:rPr>
          <w:rStyle w:val="FootnoteReference"/>
        </w:rPr>
        <w:footnoteRef/>
      </w:r>
      <w:r w:rsidRPr="00371644">
        <w:t xml:space="preserve"> Bundle 1, page 537.</w:t>
      </w:r>
    </w:p>
  </w:footnote>
  <w:footnote w:id="90">
    <w:p w:rsidR="002A0259" w:rsidRDefault="002A0259" w:rsidP="00CD4AB8">
      <w:pPr>
        <w:pStyle w:val="FootnoteText"/>
      </w:pPr>
      <w:r>
        <w:rPr>
          <w:rStyle w:val="FootnoteReference"/>
        </w:rPr>
        <w:footnoteRef/>
      </w:r>
      <w:r>
        <w:t xml:space="preserve"> Bundle 3, pages 1094 and 1097. Material irregularities in the approval process will be canvassed in another part of this complaint to follow.</w:t>
      </w:r>
    </w:p>
  </w:footnote>
  <w:footnote w:id="91">
    <w:p w:rsidR="002A0259" w:rsidRPr="00371644" w:rsidRDefault="002A0259" w:rsidP="00CD4AB8">
      <w:pPr>
        <w:pStyle w:val="FootnoteText"/>
      </w:pPr>
      <w:r w:rsidRPr="00371644">
        <w:rPr>
          <w:rStyle w:val="FootnoteReference"/>
        </w:rPr>
        <w:footnoteRef/>
      </w:r>
      <w:r w:rsidRPr="00371644">
        <w:t xml:space="preserve"> Bundle 3, page 1093. </w:t>
      </w:r>
    </w:p>
  </w:footnote>
  <w:footnote w:id="92">
    <w:p w:rsidR="002A0259" w:rsidRPr="00371644" w:rsidRDefault="002A0259" w:rsidP="00CD4AB8">
      <w:pPr>
        <w:pStyle w:val="FootnoteText"/>
      </w:pPr>
      <w:r w:rsidRPr="00371644">
        <w:rPr>
          <w:rStyle w:val="FootnoteReference"/>
        </w:rPr>
        <w:footnoteRef/>
      </w:r>
      <w:r w:rsidRPr="00371644">
        <w:t xml:space="preserve"> Bundle 3, page</w:t>
      </w:r>
      <w:r>
        <w:t>s</w:t>
      </w:r>
      <w:r w:rsidRPr="00371644">
        <w:t xml:space="preserve"> 1073 and</w:t>
      </w:r>
      <w:r>
        <w:t xml:space="preserve"> especially</w:t>
      </w:r>
      <w:r w:rsidRPr="00371644">
        <w:t xml:space="preserve"> 1076 compared with pages 1077 and </w:t>
      </w:r>
      <w:r>
        <w:t>especially</w:t>
      </w:r>
      <w:r w:rsidRPr="00371644">
        <w:t xml:space="preserve"> 1080. These two budget applications show five Senior Litigator posts were vacant in February 2010, </w:t>
      </w:r>
      <w:r>
        <w:t>and that the vacancies dropped</w:t>
      </w:r>
      <w:r w:rsidRPr="00371644">
        <w:t xml:space="preserve"> to three in February 2012, </w:t>
      </w:r>
      <w:r w:rsidR="004D605A">
        <w:t>which means</w:t>
      </w:r>
      <w:r w:rsidRPr="00371644">
        <w:t xml:space="preserve"> two of them were filled after February 2010</w:t>
      </w:r>
      <w:r>
        <w:t xml:space="preserve"> (at Bloemfontein and Mahikeng)</w:t>
      </w:r>
      <w:r w:rsidRPr="00371644">
        <w:t xml:space="preserve">. </w:t>
      </w:r>
      <w:r>
        <w:t>To obstruct the complainant’s investigation and determination of the date(s) on which these latter two appointments were made (</w:t>
      </w:r>
      <w:r w:rsidRPr="002A198D">
        <w:t>sometime after February 2010, well after the irregular abortion of the Pietermaritzburg and Durban recruitments</w:t>
      </w:r>
      <w:r w:rsidR="004D605A">
        <w:t xml:space="preserve"> in November 2009</w:t>
      </w:r>
      <w:r w:rsidRPr="002A198D">
        <w:t xml:space="preserve">; see </w:t>
      </w:r>
      <w:r w:rsidRPr="007D39A5">
        <w:t>paragraphs 67</w:t>
      </w:r>
      <w:r>
        <w:t xml:space="preserve"> and 68), Hundermark is hiding the records</w:t>
      </w:r>
      <w:r w:rsidR="004D605A">
        <w:t xml:space="preserve"> of</w:t>
      </w:r>
      <w:r>
        <w:t xml:space="preserve"> ‘All six Senior Litigator</w:t>
      </w:r>
      <w:r w:rsidRPr="00BF0813">
        <w:t xml:space="preserve"> </w:t>
      </w:r>
      <w:r>
        <w:t>appointments’</w:t>
      </w:r>
      <w:r w:rsidR="004D605A">
        <w:t xml:space="preserve">. These were </w:t>
      </w:r>
      <w:r>
        <w:t>duly requested on 1 August 2016 under section 18 of PAIA, and</w:t>
      </w:r>
      <w:r w:rsidRPr="002A198D">
        <w:t xml:space="preserve"> </w:t>
      </w:r>
      <w:r>
        <w:t xml:space="preserve">after </w:t>
      </w:r>
      <w:r w:rsidR="00F76E43">
        <w:t xml:space="preserve">they were </w:t>
      </w:r>
      <w:r>
        <w:t xml:space="preserve">illegally and unconstitutionally refused in September, </w:t>
      </w:r>
      <w:r w:rsidR="004D605A">
        <w:t xml:space="preserve">were sued for, </w:t>
      </w:r>
      <w:r>
        <w:t>along with other documents, two weeks later in October 2016</w:t>
      </w:r>
      <w:r w:rsidRPr="00D77F90">
        <w:t xml:space="preserve"> </w:t>
      </w:r>
      <w:r>
        <w:t>under section 78 of PAIA (case 11187/16P). The case was eventually argued in the Pietermaritzburg High Court on 30 August 2019, nearly three years later, after being repeatedly held up by various dilatory tactics, and reserved judgment is pending. Once they’ve been disgorged by order of court, the withheld documents will be used in support of further parts of this complaint to follow, concerning several instances of ‘material irregularity’ as defined by section 1 of the PFMA, including ‘fraud’.</w:t>
      </w:r>
    </w:p>
  </w:footnote>
  <w:footnote w:id="93">
    <w:p w:rsidR="002A0259" w:rsidRPr="00371644" w:rsidRDefault="002A0259" w:rsidP="00CD4AB8">
      <w:pPr>
        <w:pStyle w:val="FootnoteText"/>
      </w:pPr>
      <w:r w:rsidRPr="00371644">
        <w:rPr>
          <w:rStyle w:val="FootnoteReference"/>
        </w:rPr>
        <w:footnoteRef/>
      </w:r>
      <w:r w:rsidRPr="00371644">
        <w:t xml:space="preserve"> Bundle 1, pages 43, 45, and 537; and Bundle 2, page 732.</w:t>
      </w:r>
    </w:p>
  </w:footnote>
  <w:footnote w:id="94">
    <w:p w:rsidR="002A0259" w:rsidRPr="00371644" w:rsidRDefault="002A0259" w:rsidP="00CD4AB8">
      <w:pPr>
        <w:pStyle w:val="FootnoteText"/>
      </w:pPr>
      <w:r w:rsidRPr="00371644">
        <w:rPr>
          <w:rStyle w:val="FootnoteReference"/>
        </w:rPr>
        <w:footnoteRef/>
      </w:r>
      <w:r w:rsidRPr="00371644">
        <w:t xml:space="preserve"> Bundle 2, page 732.</w:t>
      </w:r>
    </w:p>
  </w:footnote>
  <w:footnote w:id="95">
    <w:p w:rsidR="002A0259" w:rsidRPr="00371644" w:rsidRDefault="002A0259" w:rsidP="00CD4AB8">
      <w:pPr>
        <w:pStyle w:val="FootnoteText"/>
      </w:pPr>
      <w:r w:rsidRPr="00371644">
        <w:rPr>
          <w:rStyle w:val="FootnoteReference"/>
        </w:rPr>
        <w:footnoteRef/>
      </w:r>
      <w:r w:rsidRPr="00371644">
        <w:t xml:space="preserve"> Bundle 2, page 736, ‘Background’, second paragraph.</w:t>
      </w:r>
    </w:p>
  </w:footnote>
  <w:footnote w:id="96">
    <w:p w:rsidR="002A0259" w:rsidRPr="00371644" w:rsidRDefault="002A0259" w:rsidP="00CD4AB8">
      <w:pPr>
        <w:pStyle w:val="FootnoteText"/>
      </w:pPr>
      <w:r w:rsidRPr="00371644">
        <w:rPr>
          <w:rStyle w:val="FootnoteReference"/>
        </w:rPr>
        <w:footnoteRef/>
      </w:r>
      <w:r w:rsidRPr="00371644">
        <w:t xml:space="preserve"> Bundle 2, page 738, paragraph 1.</w:t>
      </w:r>
    </w:p>
  </w:footnote>
  <w:footnote w:id="97">
    <w:p w:rsidR="002A0259" w:rsidRPr="00371644" w:rsidRDefault="002A0259" w:rsidP="00CD4AB8">
      <w:pPr>
        <w:pStyle w:val="FootnoteText"/>
      </w:pPr>
      <w:r w:rsidRPr="00371644">
        <w:rPr>
          <w:rStyle w:val="FootnoteReference"/>
        </w:rPr>
        <w:footnoteRef/>
      </w:r>
      <w:r w:rsidRPr="00371644">
        <w:t xml:space="preserve"> Bundle 2, page 736, ‘Background’, first paragraph.</w:t>
      </w:r>
    </w:p>
  </w:footnote>
  <w:footnote w:id="98">
    <w:p w:rsidR="002A0259" w:rsidRPr="00371644" w:rsidRDefault="002A0259" w:rsidP="00CD4AB8">
      <w:pPr>
        <w:pStyle w:val="FootnoteText"/>
        <w:rPr>
          <w:vertAlign w:val="superscript"/>
        </w:rPr>
      </w:pPr>
      <w:r w:rsidRPr="00371644">
        <w:rPr>
          <w:rStyle w:val="FootnoteReference"/>
        </w:rPr>
        <w:footnoteRef/>
      </w:r>
      <w:r w:rsidRPr="00371644">
        <w:rPr>
          <w:vertAlign w:val="superscript"/>
        </w:rPr>
        <w:t xml:space="preserve"> </w:t>
      </w:r>
      <w:r w:rsidRPr="00371644">
        <w:t>Bundle 2, page 709, paragraph 4.1.7.</w:t>
      </w:r>
    </w:p>
  </w:footnote>
  <w:footnote w:id="99">
    <w:p w:rsidR="002A0259" w:rsidRPr="00371644" w:rsidRDefault="002A0259" w:rsidP="00CD4AB8">
      <w:pPr>
        <w:pStyle w:val="FootnoteText"/>
      </w:pPr>
      <w:r w:rsidRPr="00371644">
        <w:rPr>
          <w:rStyle w:val="FootnoteReference"/>
        </w:rPr>
        <w:footnoteRef/>
      </w:r>
      <w:r w:rsidRPr="00371644">
        <w:t xml:space="preserve"> Bundle 2, page 738, header; and page 740, final entry.</w:t>
      </w:r>
    </w:p>
  </w:footnote>
  <w:footnote w:id="100">
    <w:p w:rsidR="002A0259" w:rsidRPr="00371644" w:rsidRDefault="002A0259" w:rsidP="00CD4AB8">
      <w:pPr>
        <w:pStyle w:val="FootnoteText"/>
      </w:pPr>
      <w:r w:rsidRPr="00371644">
        <w:rPr>
          <w:rStyle w:val="FootnoteReference"/>
        </w:rPr>
        <w:footnoteRef/>
      </w:r>
      <w:r w:rsidRPr="00371644">
        <w:t xml:space="preserve"> Bundle 1, page 739, paragraph 2.2.</w:t>
      </w:r>
    </w:p>
  </w:footnote>
  <w:footnote w:id="101">
    <w:p w:rsidR="002A0259" w:rsidRPr="00371644" w:rsidRDefault="002A0259" w:rsidP="00CD4AB8">
      <w:pPr>
        <w:pStyle w:val="FootnoteText"/>
      </w:pPr>
      <w:r w:rsidRPr="00371644">
        <w:rPr>
          <w:rStyle w:val="FootnoteReference"/>
        </w:rPr>
        <w:footnoteRef/>
      </w:r>
      <w:r w:rsidRPr="00371644">
        <w:t xml:space="preserve"> Bundle 1, pages 43–44.</w:t>
      </w:r>
    </w:p>
  </w:footnote>
  <w:footnote w:id="102">
    <w:p w:rsidR="002A0259" w:rsidRPr="00371644" w:rsidRDefault="002A0259" w:rsidP="00CD4AB8">
      <w:pPr>
        <w:pStyle w:val="FootnoteText"/>
      </w:pPr>
      <w:r w:rsidRPr="00371644">
        <w:rPr>
          <w:rStyle w:val="FootnoteReference"/>
        </w:rPr>
        <w:footnoteRef/>
      </w:r>
      <w:r w:rsidRPr="00371644">
        <w:t xml:space="preserve"> Bundle 1, page 45.</w:t>
      </w:r>
    </w:p>
  </w:footnote>
  <w:footnote w:id="103">
    <w:p w:rsidR="002A0259" w:rsidRPr="00371644" w:rsidRDefault="002A0259" w:rsidP="00CD4AB8">
      <w:pPr>
        <w:pStyle w:val="FootnoteText"/>
      </w:pPr>
      <w:r w:rsidRPr="00371644">
        <w:rPr>
          <w:rStyle w:val="FootnoteReference"/>
        </w:rPr>
        <w:footnoteRef/>
      </w:r>
      <w:r w:rsidRPr="00371644">
        <w:t xml:space="preserve"> Bundle 2, page 789.</w:t>
      </w:r>
    </w:p>
  </w:footnote>
  <w:footnote w:id="104">
    <w:p w:rsidR="002A0259" w:rsidRPr="00371644" w:rsidRDefault="002A0259" w:rsidP="00CD4AB8">
      <w:pPr>
        <w:pStyle w:val="FootnoteText"/>
      </w:pPr>
      <w:r w:rsidRPr="00371644">
        <w:rPr>
          <w:rStyle w:val="FootnoteReference"/>
        </w:rPr>
        <w:footnoteRef/>
      </w:r>
      <w:r w:rsidRPr="00371644">
        <w:t xml:space="preserve"> Bundle 2, pages 787–801. </w:t>
      </w:r>
    </w:p>
  </w:footnote>
  <w:footnote w:id="105">
    <w:p w:rsidR="002A0259" w:rsidRPr="00371644" w:rsidRDefault="002A0259" w:rsidP="00CD4AB8">
      <w:pPr>
        <w:pStyle w:val="FootnoteText"/>
      </w:pPr>
      <w:r w:rsidRPr="00371644">
        <w:rPr>
          <w:rStyle w:val="FootnoteReference"/>
        </w:rPr>
        <w:footnoteRef/>
      </w:r>
      <w:r w:rsidRPr="00371644">
        <w:t xml:space="preserve"> Bundle 2, page 717.</w:t>
      </w:r>
    </w:p>
  </w:footnote>
  <w:footnote w:id="106">
    <w:p w:rsidR="002A0259" w:rsidRPr="00371644" w:rsidRDefault="002A0259" w:rsidP="00CD4AB8">
      <w:pPr>
        <w:pStyle w:val="FootnoteText"/>
      </w:pPr>
      <w:r w:rsidRPr="00371644">
        <w:rPr>
          <w:rStyle w:val="FootnoteReference"/>
        </w:rPr>
        <w:footnoteRef/>
      </w:r>
      <w:r w:rsidRPr="00371644">
        <w:t xml:space="preserve"> Bundle 1, page 228, section 1.1.2.</w:t>
      </w:r>
    </w:p>
  </w:footnote>
  <w:footnote w:id="107">
    <w:p w:rsidR="002A0259" w:rsidRPr="00371644" w:rsidRDefault="002A0259" w:rsidP="00CD4AB8">
      <w:pPr>
        <w:pStyle w:val="FootnoteText"/>
      </w:pPr>
      <w:r w:rsidRPr="00371644">
        <w:rPr>
          <w:rStyle w:val="FootnoteReference"/>
        </w:rPr>
        <w:footnoteRef/>
      </w:r>
      <w:r w:rsidRPr="00371644">
        <w:t xml:space="preserve"> Bundle 1, page 228, section 1.1.3.</w:t>
      </w:r>
    </w:p>
  </w:footnote>
  <w:footnote w:id="108">
    <w:p w:rsidR="002A0259" w:rsidRPr="00371644" w:rsidRDefault="002A0259" w:rsidP="00CD4AB8">
      <w:pPr>
        <w:pStyle w:val="FootnoteText"/>
      </w:pPr>
      <w:r w:rsidRPr="00371644">
        <w:rPr>
          <w:rStyle w:val="FootnoteReference"/>
        </w:rPr>
        <w:footnoteRef/>
      </w:r>
      <w:r w:rsidRPr="00371644">
        <w:t xml:space="preserve"> Ibid.</w:t>
      </w:r>
    </w:p>
  </w:footnote>
  <w:footnote w:id="109">
    <w:p w:rsidR="002A0259" w:rsidRPr="00371644" w:rsidRDefault="002A0259" w:rsidP="00CD4AB8">
      <w:pPr>
        <w:pStyle w:val="FootnoteText"/>
      </w:pPr>
      <w:r w:rsidRPr="00371644">
        <w:rPr>
          <w:rStyle w:val="FootnoteReference"/>
        </w:rPr>
        <w:footnoteRef/>
      </w:r>
      <w:r w:rsidRPr="00371644">
        <w:t xml:space="preserve"> Bundle 2, page 1040.</w:t>
      </w:r>
    </w:p>
  </w:footnote>
  <w:footnote w:id="110">
    <w:p w:rsidR="002A0259" w:rsidRPr="00371644" w:rsidRDefault="002A0259" w:rsidP="00CD4AB8">
      <w:pPr>
        <w:pStyle w:val="FootnoteText"/>
      </w:pPr>
      <w:r w:rsidRPr="00371644">
        <w:rPr>
          <w:rStyle w:val="FootnoteReference"/>
        </w:rPr>
        <w:footnoteRef/>
      </w:r>
      <w:r w:rsidRPr="00371644">
        <w:t xml:space="preserve"> Bundle 1, page 19.</w:t>
      </w:r>
    </w:p>
  </w:footnote>
  <w:footnote w:id="111">
    <w:p w:rsidR="002A0259" w:rsidRPr="00371644" w:rsidRDefault="002A0259" w:rsidP="00CD4AB8">
      <w:pPr>
        <w:pStyle w:val="FootnoteText"/>
      </w:pPr>
      <w:r w:rsidRPr="00371644">
        <w:rPr>
          <w:rStyle w:val="FootnoteReference"/>
        </w:rPr>
        <w:footnoteRef/>
      </w:r>
      <w:r w:rsidRPr="00371644">
        <w:t xml:space="preserve"> Bundle 2, pages 1028 and 1029</w:t>
      </w:r>
      <w:r>
        <w:t xml:space="preserve">: </w:t>
      </w:r>
      <w:r w:rsidRPr="00371644">
        <w:t>‘Vacant’ and ‘Budget’ columns.</w:t>
      </w:r>
    </w:p>
  </w:footnote>
  <w:footnote w:id="112">
    <w:p w:rsidR="002A0259" w:rsidRPr="00371644" w:rsidRDefault="002A0259" w:rsidP="00CD4AB8">
      <w:pPr>
        <w:pStyle w:val="FootnoteText"/>
      </w:pPr>
      <w:r w:rsidRPr="00371644">
        <w:rPr>
          <w:rStyle w:val="FootnoteReference"/>
        </w:rPr>
        <w:footnoteRef/>
      </w:r>
      <w:r w:rsidRPr="00371644">
        <w:t xml:space="preserve"> Bundle 1, page 245.</w:t>
      </w:r>
    </w:p>
  </w:footnote>
  <w:footnote w:id="113">
    <w:p w:rsidR="002A0259" w:rsidRPr="00371644" w:rsidRDefault="002A0259" w:rsidP="00CD4AB8">
      <w:pPr>
        <w:pStyle w:val="FootnoteText"/>
      </w:pPr>
      <w:r w:rsidRPr="00371644">
        <w:rPr>
          <w:rStyle w:val="FootnoteReference"/>
        </w:rPr>
        <w:footnoteRef/>
      </w:r>
      <w:r w:rsidRPr="00371644">
        <w:t xml:space="preserve"> Bundle 1, page 244. The date of the interviews is incorrectly recorded </w:t>
      </w:r>
      <w:r>
        <w:t xml:space="preserve">on the recommendation report </w:t>
      </w:r>
      <w:r w:rsidRPr="00371644">
        <w:t>as 6 November 2009; in fact they were held on the 12th.</w:t>
      </w:r>
    </w:p>
  </w:footnote>
  <w:footnote w:id="114">
    <w:p w:rsidR="002A0259" w:rsidRPr="00371644" w:rsidRDefault="002A0259" w:rsidP="00CD4AB8">
      <w:pPr>
        <w:pStyle w:val="FootnoteText"/>
      </w:pPr>
      <w:r w:rsidRPr="00371644">
        <w:rPr>
          <w:rStyle w:val="FootnoteReference"/>
        </w:rPr>
        <w:footnoteRef/>
      </w:r>
      <w:r w:rsidRPr="00371644">
        <w:t xml:space="preserve"> Bundle 1, page 248.</w:t>
      </w:r>
    </w:p>
  </w:footnote>
  <w:footnote w:id="115">
    <w:p w:rsidR="002A0259" w:rsidRPr="00371644" w:rsidRDefault="002A0259" w:rsidP="00CD4AB8">
      <w:pPr>
        <w:pStyle w:val="FootnoteText"/>
      </w:pPr>
      <w:r w:rsidRPr="00371644">
        <w:rPr>
          <w:rStyle w:val="FootnoteReference"/>
        </w:rPr>
        <w:footnoteRef/>
      </w:r>
      <w:r w:rsidRPr="00371644">
        <w:t xml:space="preserve"> Bundle 1, page 247, paragraph 6. </w:t>
      </w:r>
    </w:p>
  </w:footnote>
  <w:footnote w:id="116">
    <w:p w:rsidR="002A0259" w:rsidRDefault="002A0259" w:rsidP="00CD4AB8">
      <w:pPr>
        <w:pStyle w:val="FootnoteText"/>
      </w:pPr>
      <w:r>
        <w:rPr>
          <w:rStyle w:val="FootnoteReference"/>
        </w:rPr>
        <w:footnoteRef/>
      </w:r>
      <w:r>
        <w:t xml:space="preserve"> </w:t>
      </w:r>
      <w:r w:rsidRPr="00462240">
        <w:t>Bundle</w:t>
      </w:r>
      <w:r>
        <w:t xml:space="preserve"> 2</w:t>
      </w:r>
      <w:r w:rsidRPr="00462240">
        <w:t>, page 827.</w:t>
      </w:r>
      <w:r>
        <w:t xml:space="preserve"> </w:t>
      </w:r>
    </w:p>
  </w:footnote>
  <w:footnote w:id="117">
    <w:p w:rsidR="002A0259" w:rsidRPr="00371644" w:rsidRDefault="002A0259" w:rsidP="00CD4AB8">
      <w:pPr>
        <w:pStyle w:val="FootnoteText"/>
      </w:pPr>
      <w:r w:rsidRPr="00371644">
        <w:rPr>
          <w:rStyle w:val="FootnoteReference"/>
        </w:rPr>
        <w:footnoteRef/>
      </w:r>
      <w:r w:rsidRPr="00371644">
        <w:t xml:space="preserve"> The irregular manner in which the selection panel framed its recommendations of the two candidates after duly selecting them will be discussed in another part of this complaint to follow, as will the many unlawful irregularities committed by LASA’s national executives</w:t>
      </w:r>
      <w:r>
        <w:t xml:space="preserve"> in the matter</w:t>
      </w:r>
      <w:r w:rsidRPr="00371644">
        <w:t xml:space="preserve">, </w:t>
      </w:r>
      <w:r w:rsidRPr="009D7FB1">
        <w:rPr>
          <w:i/>
        </w:rPr>
        <w:t>inter alia</w:t>
      </w:r>
      <w:r w:rsidRPr="00371644">
        <w:t xml:space="preserve"> by unlawfully gerrymandering the qualifying criteria for the posts in a failed attempt to </w:t>
      </w:r>
      <w:r>
        <w:t xml:space="preserve">bias </w:t>
      </w:r>
      <w:r w:rsidRPr="00371644">
        <w:t xml:space="preserve">the process </w:t>
      </w:r>
      <w:r>
        <w:t>i</w:t>
      </w:r>
      <w:r w:rsidRPr="00371644">
        <w:t>n favour of one of the applicants, Ngcamu AJ (as he used to be), a long-time judicial colleague of LASA chairperson Mlambo JP</w:t>
      </w:r>
      <w:r>
        <w:t>, who was t</w:t>
      </w:r>
      <w:r w:rsidRPr="00371644">
        <w:t xml:space="preserve">hen head of the Labour- and Labour Appeal Courts, </w:t>
      </w:r>
      <w:r>
        <w:t>and who’d</w:t>
      </w:r>
      <w:r w:rsidRPr="00371644">
        <w:t xml:space="preserve"> repeatedly </w:t>
      </w:r>
      <w:r>
        <w:t xml:space="preserve">got him </w:t>
      </w:r>
      <w:r w:rsidRPr="00371644">
        <w:t xml:space="preserve">appointed as an acting judge of the Labour Court over a period of about six years prior to the interviews. To be discussed in another part of this complaint to follow, this long suppressed, determinedly concealed, critically relevant information was finally forced out of LASA through PAIA litigation in April 2016, years after the trial of and judgment in the misconceived, </w:t>
      </w:r>
      <w:r>
        <w:t>correctly dismissed</w:t>
      </w:r>
      <w:r w:rsidRPr="00371644">
        <w:t xml:space="preserve"> labour action mentioned above</w:t>
      </w:r>
      <w:r>
        <w:t xml:space="preserve"> (LC D529/11),</w:t>
      </w:r>
      <w:r w:rsidRPr="004169EC">
        <w:t xml:space="preserve"> </w:t>
      </w:r>
      <w:r>
        <w:t>which had been wrongly</w:t>
      </w:r>
      <w:r w:rsidRPr="00371644">
        <w:t xml:space="preserve"> founded</w:t>
      </w:r>
      <w:r>
        <w:t xml:space="preserve"> on unfair discrimination</w:t>
      </w:r>
      <w:r w:rsidRPr="00371644">
        <w:t>.</w:t>
      </w:r>
    </w:p>
  </w:footnote>
  <w:footnote w:id="118">
    <w:p w:rsidR="002A0259" w:rsidRPr="00371644" w:rsidRDefault="002A0259" w:rsidP="00CD4AB8">
      <w:pPr>
        <w:pStyle w:val="FootnoteText"/>
      </w:pPr>
      <w:r w:rsidRPr="00371644">
        <w:rPr>
          <w:rStyle w:val="FootnoteReference"/>
        </w:rPr>
        <w:footnoteRef/>
      </w:r>
      <w:r w:rsidRPr="00371644">
        <w:t xml:space="preserve"> Bundle 2, page 1036</w:t>
      </w:r>
      <w:r>
        <w:t xml:space="preserve">. </w:t>
      </w:r>
      <w:r w:rsidRPr="00371644">
        <w:t xml:space="preserve">Under section 8.2.2.b of the Approval Framework, </w:t>
      </w:r>
      <w:r>
        <w:t xml:space="preserve">the </w:t>
      </w:r>
      <w:r w:rsidRPr="00371644">
        <w:t xml:space="preserve">NOE </w:t>
      </w:r>
      <w:r>
        <w:t>(</w:t>
      </w:r>
      <w:r w:rsidRPr="00371644">
        <w:t>Nair</w:t>
      </w:r>
      <w:r>
        <w:t>)</w:t>
      </w:r>
      <w:r w:rsidRPr="00371644">
        <w:t xml:space="preserve"> has ‘Final approval’ </w:t>
      </w:r>
      <w:r>
        <w:t>authority</w:t>
      </w:r>
      <w:r w:rsidRPr="00371644">
        <w:t xml:space="preserve">, </w:t>
      </w:r>
      <w:r>
        <w:t>provided that the CEO (then Vedalankar)</w:t>
      </w:r>
      <w:r w:rsidRPr="00371644">
        <w:t xml:space="preserve"> ‘Must agree’</w:t>
      </w:r>
      <w:r>
        <w:t xml:space="preserve"> with the appointment.</w:t>
      </w:r>
    </w:p>
  </w:footnote>
  <w:footnote w:id="119">
    <w:p w:rsidR="002A0259" w:rsidRPr="00371644" w:rsidRDefault="002A0259" w:rsidP="00CD4AB8">
      <w:pPr>
        <w:pStyle w:val="FootnoteText"/>
      </w:pPr>
      <w:r w:rsidRPr="00371644">
        <w:rPr>
          <w:rStyle w:val="FootnoteReference"/>
        </w:rPr>
        <w:footnoteRef/>
      </w:r>
      <w:r w:rsidRPr="00371644">
        <w:t xml:space="preserve"> To be identified in light of relevant documents in another part of this complaint to follow.</w:t>
      </w:r>
    </w:p>
  </w:footnote>
  <w:footnote w:id="120">
    <w:p w:rsidR="002A0259" w:rsidRDefault="002A0259" w:rsidP="00CD4AB8">
      <w:pPr>
        <w:pStyle w:val="FootnoteText"/>
      </w:pPr>
      <w:r>
        <w:rPr>
          <w:rStyle w:val="FootnoteReference"/>
        </w:rPr>
        <w:footnoteRef/>
      </w:r>
      <w:r>
        <w:t xml:space="preserve"> Bundle 1, page 19. This is a letter by</w:t>
      </w:r>
      <w:r w:rsidRPr="00C421D3">
        <w:t xml:space="preserve"> </w:t>
      </w:r>
      <w:r>
        <w:t xml:space="preserve">NOE Nair on 3 August 2011, </w:t>
      </w:r>
      <w:r w:rsidR="003000D4">
        <w:t xml:space="preserve">under pressure of the complainant’s enquiry more than seven months after the silent abortion of the Pietermaritzburg and Durban Senior Litigator recruitments, </w:t>
      </w:r>
      <w:r>
        <w:t>alleging that ‘the recruitment process to finalise the appointments for all vacant Senior Litigator posts were [</w:t>
      </w:r>
      <w:r w:rsidRPr="004C3543">
        <w:rPr>
          <w:i/>
        </w:rPr>
        <w:t>sic</w:t>
      </w:r>
      <w:r>
        <w:t xml:space="preserve">] put on hold due to various reasons. I can now confirm we will not be proceeding with the filling of any of these posts.’ The mendacity of Nair’s first allegation will be exposed in another part of this complaint to follow. The mendacity of his second allegation is exposed in paragraph 88 below; in sum, Nair, Vedalankar and Clark have all admitted on oath that no record whatsoever exists to show that LASA duly took any such decision not to fill the posts. Discussed in paragraphs 83–5 below, such a decision would anyway have been </w:t>
      </w:r>
      <w:r w:rsidRPr="00DC5A4C">
        <w:rPr>
          <w:i/>
        </w:rPr>
        <w:t>ipso facto</w:t>
      </w:r>
      <w:r>
        <w:t xml:space="preserve"> unlawful under the PFMA, as the Constitutional Court confirmed in the </w:t>
      </w:r>
      <w:r w:rsidRPr="00CE181B">
        <w:rPr>
          <w:i/>
        </w:rPr>
        <w:t>Zungu</w:t>
      </w:r>
      <w:r>
        <w:t xml:space="preserve"> case.</w:t>
      </w:r>
    </w:p>
  </w:footnote>
  <w:footnote w:id="121">
    <w:p w:rsidR="002A0259" w:rsidRPr="00371644" w:rsidRDefault="002A0259" w:rsidP="00CD4AB8">
      <w:pPr>
        <w:pStyle w:val="FootnoteText"/>
        <w:rPr>
          <w:rStyle w:val="FootnoteReference"/>
          <w:vertAlign w:val="baseline"/>
        </w:rPr>
      </w:pPr>
      <w:r w:rsidRPr="00371644">
        <w:rPr>
          <w:rStyle w:val="FootnoteReference"/>
        </w:rPr>
        <w:footnoteRef/>
      </w:r>
      <w:r w:rsidRPr="00371644">
        <w:rPr>
          <w:rStyle w:val="FootnoteReference"/>
          <w:vertAlign w:val="baseline"/>
        </w:rPr>
        <w:t xml:space="preserve"> </w:t>
      </w:r>
      <w:r w:rsidRPr="00371644">
        <w:t>Annexure ‘DM15’ to Mtati’s answering affidavit</w:t>
      </w:r>
      <w:r w:rsidRPr="00371644">
        <w:rPr>
          <w:rStyle w:val="FootnoteReference"/>
          <w:vertAlign w:val="baseline"/>
        </w:rPr>
        <w:t xml:space="preserve"> </w:t>
      </w:r>
      <w:r w:rsidRPr="00371644">
        <w:t>in the a</w:t>
      </w:r>
      <w:r w:rsidRPr="00371644">
        <w:rPr>
          <w:rStyle w:val="FootnoteReference"/>
          <w:vertAlign w:val="baseline"/>
        </w:rPr>
        <w:t xml:space="preserve">pplication to subpoena Mlambo JP </w:t>
      </w:r>
      <w:r w:rsidRPr="00371644">
        <w:t>for cross-examination at the trial of c</w:t>
      </w:r>
      <w:r w:rsidRPr="00371644">
        <w:rPr>
          <w:rStyle w:val="FootnoteReference"/>
          <w:vertAlign w:val="baseline"/>
        </w:rPr>
        <w:t>ase LC D529/11</w:t>
      </w:r>
      <w:r w:rsidRPr="00371644">
        <w:t>. (LASA neglected to annex this confirmatory affidavit to the answering affidavit provided to the complainant, and only furnished it after the trial. So if it’s not in the court file LASA will have a copy, otherwise the complainant can make his copy available.</w:t>
      </w:r>
    </w:p>
  </w:footnote>
  <w:footnote w:id="122">
    <w:p w:rsidR="002A0259" w:rsidRPr="00371644" w:rsidRDefault="002A0259" w:rsidP="00CD4AB8">
      <w:pPr>
        <w:pStyle w:val="FootnoteText"/>
        <w:rPr>
          <w:rStyle w:val="FootnoteReference"/>
        </w:rPr>
      </w:pPr>
      <w:r w:rsidRPr="00371644">
        <w:rPr>
          <w:rStyle w:val="FootnoteReference"/>
        </w:rPr>
        <w:footnoteRef/>
      </w:r>
      <w:r w:rsidRPr="00371644">
        <w:rPr>
          <w:rStyle w:val="FootnoteReference"/>
          <w:vertAlign w:val="baseline"/>
        </w:rPr>
        <w:t xml:space="preserve"> </w:t>
      </w:r>
      <w:r w:rsidRPr="00371644">
        <w:t>P</w:t>
      </w:r>
      <w:r w:rsidRPr="00371644">
        <w:rPr>
          <w:rStyle w:val="FootnoteReference"/>
          <w:vertAlign w:val="baseline"/>
        </w:rPr>
        <w:t>aragraph 13.4</w:t>
      </w:r>
      <w:r w:rsidRPr="00371644">
        <w:t xml:space="preserve"> of </w:t>
      </w:r>
      <w:r w:rsidRPr="00371644">
        <w:rPr>
          <w:rStyle w:val="FootnoteReference"/>
          <w:vertAlign w:val="baseline"/>
        </w:rPr>
        <w:t xml:space="preserve">Mtati’s answering affidavit </w:t>
      </w:r>
      <w:r w:rsidRPr="00371644">
        <w:t>in the</w:t>
      </w:r>
      <w:r>
        <w:t xml:space="preserve"> </w:t>
      </w:r>
      <w:r w:rsidRPr="00371644">
        <w:t>a</w:t>
      </w:r>
      <w:r w:rsidRPr="00371644">
        <w:rPr>
          <w:rStyle w:val="FootnoteReference"/>
          <w:vertAlign w:val="baseline"/>
        </w:rPr>
        <w:t>pplication to subpoena Mlambo JP</w:t>
      </w:r>
      <w:r>
        <w:rPr>
          <w:rStyle w:val="FootnoteReference"/>
          <w:vertAlign w:val="baseline"/>
        </w:rPr>
        <w:t xml:space="preserve"> in</w:t>
      </w:r>
      <w:r w:rsidRPr="00371644">
        <w:rPr>
          <w:rStyle w:val="FootnoteReference"/>
          <w:vertAlign w:val="baseline"/>
        </w:rPr>
        <w:t xml:space="preserve"> LC</w:t>
      </w:r>
      <w:r>
        <w:t> </w:t>
      </w:r>
      <w:r w:rsidRPr="00371644">
        <w:rPr>
          <w:rStyle w:val="FootnoteReference"/>
          <w:vertAlign w:val="baseline"/>
        </w:rPr>
        <w:t>D529/11</w:t>
      </w:r>
      <w:r w:rsidRPr="00371644">
        <w:t>.</w:t>
      </w:r>
    </w:p>
  </w:footnote>
  <w:footnote w:id="123">
    <w:p w:rsidR="002A0259" w:rsidRPr="00371644" w:rsidRDefault="002A0259" w:rsidP="00CD4AB8">
      <w:pPr>
        <w:pStyle w:val="FootnoteText"/>
        <w:rPr>
          <w:rStyle w:val="FootnoteReference"/>
        </w:rPr>
      </w:pPr>
      <w:r w:rsidRPr="00371644">
        <w:rPr>
          <w:rStyle w:val="FootnoteReference"/>
        </w:rPr>
        <w:footnoteRef/>
      </w:r>
      <w:r w:rsidRPr="00371644">
        <w:rPr>
          <w:rStyle w:val="FootnoteReference"/>
          <w:vertAlign w:val="baseline"/>
        </w:rPr>
        <w:t xml:space="preserve"> </w:t>
      </w:r>
      <w:r w:rsidRPr="00371644">
        <w:t>P</w:t>
      </w:r>
      <w:r w:rsidRPr="00371644">
        <w:rPr>
          <w:rStyle w:val="FootnoteReference"/>
          <w:vertAlign w:val="baseline"/>
        </w:rPr>
        <w:t>aragraph 28</w:t>
      </w:r>
      <w:r w:rsidRPr="00371644">
        <w:t xml:space="preserve"> of LASA’s </w:t>
      </w:r>
      <w:r w:rsidRPr="00371644">
        <w:rPr>
          <w:rStyle w:val="FootnoteReference"/>
          <w:vertAlign w:val="baseline"/>
        </w:rPr>
        <w:t>original response</w:t>
      </w:r>
      <w:r w:rsidRPr="00371644">
        <w:t xml:space="preserve"> to the original statement of claim</w:t>
      </w:r>
      <w:r>
        <w:t xml:space="preserve"> in </w:t>
      </w:r>
      <w:r w:rsidRPr="00371644">
        <w:rPr>
          <w:rStyle w:val="FootnoteReference"/>
          <w:vertAlign w:val="baseline"/>
        </w:rPr>
        <w:t>LC</w:t>
      </w:r>
      <w:r w:rsidR="00E93CF4">
        <w:t xml:space="preserve"> </w:t>
      </w:r>
      <w:r w:rsidRPr="00371644">
        <w:rPr>
          <w:rStyle w:val="FootnoteReference"/>
          <w:vertAlign w:val="baseline"/>
        </w:rPr>
        <w:t>D529/11</w:t>
      </w:r>
      <w:r w:rsidRPr="00371644">
        <w:t>.</w:t>
      </w:r>
    </w:p>
  </w:footnote>
  <w:footnote w:id="124">
    <w:p w:rsidR="002A0259" w:rsidRPr="00371644" w:rsidRDefault="002A0259" w:rsidP="003F4356">
      <w:pPr>
        <w:autoSpaceDE w:val="0"/>
        <w:autoSpaceDN w:val="0"/>
        <w:adjustRightInd w:val="0"/>
        <w:spacing w:after="0" w:line="240" w:lineRule="auto"/>
        <w:rPr>
          <w:rFonts w:ascii="Century Schoolbook" w:hAnsi="Century Schoolbook"/>
          <w:color w:val="000000" w:themeColor="text1"/>
          <w:sz w:val="20"/>
          <w:szCs w:val="20"/>
        </w:rPr>
      </w:pPr>
      <w:r w:rsidRPr="00371644">
        <w:rPr>
          <w:rStyle w:val="FootnoteReference"/>
          <w:rFonts w:ascii="Century Schoolbook" w:hAnsi="Century Schoolbook"/>
          <w:color w:val="000000" w:themeColor="text1"/>
          <w:sz w:val="20"/>
          <w:szCs w:val="20"/>
        </w:rPr>
        <w:footnoteRef/>
      </w:r>
      <w:r w:rsidRPr="00371644">
        <w:rPr>
          <w:rFonts w:ascii="Century Schoolbook" w:hAnsi="Century Schoolbook"/>
          <w:color w:val="000000" w:themeColor="text1"/>
          <w:sz w:val="20"/>
          <w:szCs w:val="20"/>
        </w:rPr>
        <w:t xml:space="preserve"> Paragraph 48.3.1 of LASA’s original response</w:t>
      </w:r>
      <w:r>
        <w:rPr>
          <w:rFonts w:ascii="Century Schoolbook" w:hAnsi="Century Schoolbook"/>
          <w:color w:val="000000" w:themeColor="text1"/>
          <w:sz w:val="20"/>
          <w:szCs w:val="20"/>
        </w:rPr>
        <w:t xml:space="preserve"> in </w:t>
      </w:r>
      <w:r w:rsidRPr="00371644">
        <w:rPr>
          <w:rFonts w:ascii="Century Schoolbook" w:hAnsi="Century Schoolbook"/>
          <w:color w:val="000000" w:themeColor="text1"/>
          <w:sz w:val="20"/>
          <w:szCs w:val="20"/>
        </w:rPr>
        <w:t>LC D529/11.</w:t>
      </w:r>
    </w:p>
  </w:footnote>
  <w:footnote w:id="125">
    <w:p w:rsidR="002A0259" w:rsidRPr="00371644" w:rsidRDefault="002A0259" w:rsidP="00CD4AB8">
      <w:pPr>
        <w:pStyle w:val="FootnoteText"/>
      </w:pPr>
      <w:r w:rsidRPr="00371644">
        <w:rPr>
          <w:rStyle w:val="FootnoteReference"/>
        </w:rPr>
        <w:footnoteRef/>
      </w:r>
      <w:r w:rsidRPr="00371644">
        <w:t xml:space="preserve"> Bundle 2, page 827.</w:t>
      </w:r>
    </w:p>
  </w:footnote>
  <w:footnote w:id="126">
    <w:p w:rsidR="002A0259" w:rsidRPr="00371644" w:rsidRDefault="002A0259" w:rsidP="00CD4AB8">
      <w:pPr>
        <w:pStyle w:val="FootnoteText"/>
      </w:pPr>
      <w:r w:rsidRPr="00371644">
        <w:rPr>
          <w:rStyle w:val="FootnoteReference"/>
        </w:rPr>
        <w:footnoteRef/>
      </w:r>
      <w:r w:rsidRPr="00371644">
        <w:t xml:space="preserve"> Paragraph 49.6 of LASA’s</w:t>
      </w:r>
      <w:r w:rsidRPr="00371644">
        <w:rPr>
          <w:rStyle w:val="FootnoteReference"/>
          <w:vertAlign w:val="baseline"/>
        </w:rPr>
        <w:t xml:space="preserve"> original</w:t>
      </w:r>
      <w:r w:rsidRPr="00371644">
        <w:t xml:space="preserve"> response</w:t>
      </w:r>
      <w:r>
        <w:t xml:space="preserve"> in </w:t>
      </w:r>
      <w:r w:rsidRPr="00371644">
        <w:t>LC D529/11.</w:t>
      </w:r>
    </w:p>
  </w:footnote>
  <w:footnote w:id="127">
    <w:p w:rsidR="002A0259" w:rsidRPr="00371644" w:rsidRDefault="002A0259" w:rsidP="00CD4AB8">
      <w:pPr>
        <w:pStyle w:val="FootnoteText"/>
      </w:pPr>
      <w:r w:rsidRPr="00371644">
        <w:rPr>
          <w:rStyle w:val="FootnoteReference"/>
        </w:rPr>
        <w:footnoteRef/>
      </w:r>
      <w:r w:rsidRPr="00371644">
        <w:t xml:space="preserve"> Paragraph 99.5 of Mtati’s answering affidavit in the application to subpoena Mlambo JP</w:t>
      </w:r>
      <w:r>
        <w:t xml:space="preserve"> in </w:t>
      </w:r>
      <w:r w:rsidRPr="00371644">
        <w:t>LC D529/11.</w:t>
      </w:r>
    </w:p>
  </w:footnote>
  <w:footnote w:id="128">
    <w:p w:rsidR="002A0259" w:rsidRPr="00371644" w:rsidRDefault="002A0259" w:rsidP="00CD4AB8">
      <w:pPr>
        <w:pStyle w:val="FootnoteText"/>
      </w:pPr>
      <w:r w:rsidRPr="00371644">
        <w:rPr>
          <w:rStyle w:val="FootnoteReference"/>
        </w:rPr>
        <w:footnoteRef/>
      </w:r>
      <w:r w:rsidRPr="00371644">
        <w:t xml:space="preserve"> Paragraph 92.1 of LASA’s answer to pre-trial conference agenda</w:t>
      </w:r>
      <w:r>
        <w:t xml:space="preserve"> in </w:t>
      </w:r>
      <w:r w:rsidRPr="00371644">
        <w:t>LC D529/11.</w:t>
      </w:r>
    </w:p>
  </w:footnote>
  <w:footnote w:id="129">
    <w:p w:rsidR="002A0259" w:rsidRPr="00371644" w:rsidRDefault="002A0259" w:rsidP="00CD4AB8">
      <w:pPr>
        <w:pStyle w:val="FootnoteText"/>
      </w:pPr>
      <w:r w:rsidRPr="00371644">
        <w:rPr>
          <w:rStyle w:val="FootnoteReference"/>
        </w:rPr>
        <w:footnoteRef/>
      </w:r>
      <w:r w:rsidRPr="00371644">
        <w:t xml:space="preserve"> Bundle 2, pages 994 and 996.</w:t>
      </w:r>
      <w:r>
        <w:t xml:space="preserve"> The several material irregularities in the Mthatha recruitment will be addressed in another part of this complaint to follow. </w:t>
      </w:r>
    </w:p>
  </w:footnote>
  <w:footnote w:id="130">
    <w:p w:rsidR="002A0259" w:rsidRPr="00371644" w:rsidRDefault="002A0259" w:rsidP="00CD4AB8">
      <w:pPr>
        <w:pStyle w:val="FootnoteText"/>
      </w:pPr>
      <w:r w:rsidRPr="00371644">
        <w:rPr>
          <w:rStyle w:val="FootnoteReference"/>
        </w:rPr>
        <w:footnoteRef/>
      </w:r>
      <w:r w:rsidRPr="00371644">
        <w:t xml:space="preserve"> Bundle 2, pages 787–801. </w:t>
      </w:r>
    </w:p>
  </w:footnote>
  <w:footnote w:id="131">
    <w:p w:rsidR="002A0259" w:rsidRDefault="002A0259" w:rsidP="00CD4AB8">
      <w:pPr>
        <w:pStyle w:val="FootnoteText"/>
      </w:pPr>
      <w:r>
        <w:rPr>
          <w:rStyle w:val="FootnoteReference"/>
        </w:rPr>
        <w:footnoteRef/>
      </w:r>
      <w:r>
        <w:t xml:space="preserve"> In the language of section 1.1.2 of LASA’s Recruitment code. Bundle 1, page 228.</w:t>
      </w:r>
    </w:p>
  </w:footnote>
  <w:footnote w:id="132">
    <w:p w:rsidR="002A0259" w:rsidRPr="00371644" w:rsidRDefault="002A0259" w:rsidP="00CD4AB8">
      <w:pPr>
        <w:pStyle w:val="FootnoteText"/>
      </w:pPr>
      <w:r w:rsidRPr="00371644">
        <w:rPr>
          <w:rStyle w:val="FootnoteReference"/>
        </w:rPr>
        <w:footnoteRef/>
      </w:r>
      <w:r w:rsidRPr="00371644">
        <w:t xml:space="preserve"> Bundle 1, page 228, section 1.1.2.</w:t>
      </w:r>
    </w:p>
  </w:footnote>
  <w:footnote w:id="133">
    <w:p w:rsidR="002A0259" w:rsidRPr="00371644" w:rsidRDefault="002A0259" w:rsidP="00CD4AB8">
      <w:pPr>
        <w:pStyle w:val="FootnoteText"/>
      </w:pPr>
      <w:r w:rsidRPr="00371644">
        <w:rPr>
          <w:rStyle w:val="FootnoteReference"/>
        </w:rPr>
        <w:footnoteRef/>
      </w:r>
      <w:r w:rsidRPr="00371644">
        <w:t xml:space="preserve"> Bundle 3, pages 1115 and 1117.</w:t>
      </w:r>
    </w:p>
  </w:footnote>
  <w:footnote w:id="134">
    <w:p w:rsidR="002A0259" w:rsidRPr="00371644" w:rsidRDefault="002A0259" w:rsidP="00CD4AB8">
      <w:pPr>
        <w:pStyle w:val="FootnoteText"/>
      </w:pPr>
      <w:r w:rsidRPr="00371644">
        <w:rPr>
          <w:rStyle w:val="FootnoteReference"/>
        </w:rPr>
        <w:footnoteRef/>
      </w:r>
      <w:r w:rsidRPr="00371644">
        <w:t xml:space="preserve"> Bundle 1, page 381, paragraph 15.</w:t>
      </w:r>
    </w:p>
  </w:footnote>
  <w:footnote w:id="135">
    <w:p w:rsidR="002A0259" w:rsidRPr="00371644" w:rsidRDefault="002A0259" w:rsidP="00CD4AB8">
      <w:pPr>
        <w:pStyle w:val="FootnoteText"/>
      </w:pPr>
      <w:r w:rsidRPr="00371644">
        <w:rPr>
          <w:rStyle w:val="FootnoteReference"/>
        </w:rPr>
        <w:footnoteRef/>
      </w:r>
      <w:r w:rsidRPr="00371644">
        <w:t xml:space="preserve"> Bundle 3, page 1115.</w:t>
      </w:r>
    </w:p>
  </w:footnote>
  <w:footnote w:id="136">
    <w:p w:rsidR="002A0259" w:rsidRDefault="002A0259" w:rsidP="00CD4AB8">
      <w:pPr>
        <w:pStyle w:val="FootnoteText"/>
      </w:pPr>
      <w:r>
        <w:rPr>
          <w:rStyle w:val="FootnoteReference"/>
        </w:rPr>
        <w:footnoteRef/>
      </w:r>
      <w:r>
        <w:t xml:space="preserve"> In November 2011, two years after the abortion of the Pietermaritzburg and Durban Senior Litigator recruitment processes ‘immediately’ after the candidate recommendations were made in November 2009, followed by the abortion of the Mthatha recruitment several months later as CEO Vedalankar and NOE Nair came under pressure to finalise the Pietermaritzburg appointment – even as the Bloemfontein and Mahikeng Senior Litigator recruitments proceeded and were finalised with appointments made – NOE Nair made a ‘Report to Board’ (Bundle 2, page 869) alleging absolutely falsely that the three Senior Litigator posts</w:t>
      </w:r>
      <w:r w:rsidRPr="000459DC">
        <w:t xml:space="preserve"> </w:t>
      </w:r>
      <w:r>
        <w:t xml:space="preserve">at </w:t>
      </w:r>
      <w:r w:rsidRPr="009D555D">
        <w:t>Pietermaritzburg, Durban and Mthatha</w:t>
      </w:r>
      <w:r>
        <w:t xml:space="preserve"> ‘have remained vacant due to recruitment challenges.’ Nair compounded his lie to the Board by making up a second quite different, also absolutely false reason,</w:t>
      </w:r>
      <w:r w:rsidRPr="00FC0D2D">
        <w:t xml:space="preserve"> </w:t>
      </w:r>
      <w:r>
        <w:t>unsupported by any records: ‘We have since decided not to fill the remaining positions until we are satisfied that our objectives determined for this position [</w:t>
      </w:r>
      <w:r w:rsidRPr="009D555D">
        <w:rPr>
          <w:i/>
        </w:rPr>
        <w:t>sic</w:t>
      </w:r>
      <w:r>
        <w:t>] is [</w:t>
      </w:r>
      <w:r w:rsidRPr="009D555D">
        <w:rPr>
          <w:i/>
        </w:rPr>
        <w:t>sic</w:t>
      </w:r>
      <w:r>
        <w:t>] being achieved by the current incumbents.’ Nair’s lying spree continued with a third outright fabrication in which he absolutely falsely and slanderously alleged, contradicted by LASA’s professional quality assessment reports, that LASA’s incumbent six Senior Litigators were incompetent and underperforming and needed urgent professional auditing ‘by a retired judge’, which blatant lie he told about them Nair later retracted under oath in court. The several different lies</w:t>
      </w:r>
      <w:r w:rsidRPr="00FC0D2D">
        <w:t xml:space="preserve"> </w:t>
      </w:r>
      <w:r>
        <w:t>Nair told the Board to justify not filling the Pietermaritzburg, Durban and Mthatha Senior Litigator posts, and his ‘operational reasons’ perjury in a subsequent affidavit, will be addressed and refuted with reference to material documents in another part of this complaint to follow.</w:t>
      </w:r>
    </w:p>
  </w:footnote>
  <w:footnote w:id="137">
    <w:p w:rsidR="002A0259" w:rsidRPr="00371644" w:rsidRDefault="002A0259" w:rsidP="00CD4AB8">
      <w:pPr>
        <w:pStyle w:val="FootnoteText"/>
      </w:pPr>
      <w:r w:rsidRPr="00371644">
        <w:rPr>
          <w:rStyle w:val="FootnoteReference"/>
        </w:rPr>
        <w:footnoteRef/>
      </w:r>
      <w:r w:rsidRPr="00371644">
        <w:t xml:space="preserve"> Bundle 1, page 228, footnote.</w:t>
      </w:r>
    </w:p>
  </w:footnote>
  <w:footnote w:id="138">
    <w:p w:rsidR="002A0259" w:rsidRPr="00371644" w:rsidRDefault="002A0259" w:rsidP="00CD4AB8">
      <w:pPr>
        <w:pStyle w:val="FootnoteText"/>
      </w:pPr>
      <w:r w:rsidRPr="00371644">
        <w:rPr>
          <w:rStyle w:val="FootnoteReference"/>
        </w:rPr>
        <w:footnoteRef/>
      </w:r>
      <w:r w:rsidRPr="00371644">
        <w:t xml:space="preserve"> As mentioned </w:t>
      </w:r>
      <w:r>
        <w:t>in paragraph 60 above</w:t>
      </w:r>
      <w:r w:rsidRPr="00371644">
        <w:t>, the original Kimberley Senior Litigator post was abolished and a new post created at Mthatha, with the budget for the former transferred to the latter.</w:t>
      </w:r>
    </w:p>
  </w:footnote>
  <w:footnote w:id="139">
    <w:p w:rsidR="002A0259" w:rsidRPr="00371644" w:rsidRDefault="002A0259" w:rsidP="00CD4AB8">
      <w:pPr>
        <w:pStyle w:val="FootnoteText"/>
      </w:pPr>
      <w:r w:rsidRPr="00371644">
        <w:rPr>
          <w:rStyle w:val="FootnoteReference"/>
        </w:rPr>
        <w:footnoteRef/>
      </w:r>
      <w:r w:rsidRPr="00371644">
        <w:t xml:space="preserve"> Quoted in paragraph 79 below, section 1 of the PFMA identifies the Board </w:t>
      </w:r>
      <w:r>
        <w:t xml:space="preserve">as </w:t>
      </w:r>
      <w:r w:rsidRPr="00371644">
        <w:t>LASA’s ‘accounting authority’, and LASA state</w:t>
      </w:r>
      <w:r>
        <w:t>d</w:t>
      </w:r>
      <w:r w:rsidRPr="00371644">
        <w:t xml:space="preserve"> accordingly in its annual report 2011/12: ‘The Board is the accounting authority of Legal Aid South Africa under the Public Finance Management Act 1 of 1999 (as amended).’ Bundle 2, page 1053, paragraph 2.2.3.</w:t>
      </w:r>
    </w:p>
  </w:footnote>
  <w:footnote w:id="140">
    <w:p w:rsidR="002A0259" w:rsidRPr="00371644" w:rsidRDefault="002A0259" w:rsidP="00CD4AB8">
      <w:pPr>
        <w:pStyle w:val="FootnoteText"/>
        <w:rPr>
          <w:rStyle w:val="FootnoteReference"/>
          <w:rFonts w:cs="Times New Roman"/>
          <w:vertAlign w:val="baseline"/>
        </w:rPr>
      </w:pPr>
      <w:r w:rsidRPr="00371644">
        <w:rPr>
          <w:rStyle w:val="FootnoteReference"/>
          <w:rFonts w:cs="Times New Roman"/>
        </w:rPr>
        <w:footnoteRef/>
      </w:r>
      <w:r w:rsidRPr="00371644">
        <w:rPr>
          <w:rStyle w:val="FootnoteReference"/>
          <w:rFonts w:cs="Times New Roman"/>
          <w:vertAlign w:val="baseline"/>
        </w:rPr>
        <w:t xml:space="preserve"> Bundle 3, p</w:t>
      </w:r>
      <w:r w:rsidRPr="00371644">
        <w:t>age 1119</w:t>
      </w:r>
      <w:r w:rsidRPr="00371644">
        <w:rPr>
          <w:rStyle w:val="FootnoteReference"/>
          <w:rFonts w:cs="Times New Roman"/>
          <w:vertAlign w:val="baseline"/>
        </w:rPr>
        <w:t>.</w:t>
      </w:r>
      <w:r>
        <w:t xml:space="preserve"> The transcript of the meeting doesn’t identify which Portfolio Committee</w:t>
      </w:r>
      <w:r w:rsidRPr="00C12624">
        <w:t xml:space="preserve"> </w:t>
      </w:r>
      <w:r>
        <w:t>the Treasury representative addressed, but it looks certain to have been the Finance Committee.</w:t>
      </w:r>
    </w:p>
  </w:footnote>
  <w:footnote w:id="141">
    <w:p w:rsidR="002A0259" w:rsidRDefault="002A0259" w:rsidP="00CD4AB8">
      <w:pPr>
        <w:pStyle w:val="FootnoteText"/>
      </w:pPr>
      <w:r>
        <w:rPr>
          <w:rStyle w:val="FootnoteReference"/>
        </w:rPr>
        <w:footnoteRef/>
      </w:r>
      <w:r>
        <w:t xml:space="preserve"> </w:t>
      </w:r>
      <w:r w:rsidRPr="00851798">
        <w:rPr>
          <w:i/>
        </w:rPr>
        <w:t>Ibid</w:t>
      </w:r>
      <w:r>
        <w:t>.</w:t>
      </w:r>
    </w:p>
  </w:footnote>
  <w:footnote w:id="142">
    <w:p w:rsidR="002A0259" w:rsidRPr="00371644" w:rsidRDefault="002A0259" w:rsidP="00CD4AB8">
      <w:pPr>
        <w:pStyle w:val="FootnoteText"/>
      </w:pPr>
      <w:r w:rsidRPr="00371644">
        <w:rPr>
          <w:rStyle w:val="FootnoteReference"/>
        </w:rPr>
        <w:footnoteRef/>
      </w:r>
      <w:r w:rsidRPr="00371644">
        <w:t xml:space="preserve"> Quoted in paragraph 5</w:t>
      </w:r>
      <w:r>
        <w:t>5</w:t>
      </w:r>
      <w:r w:rsidRPr="00371644">
        <w:t xml:space="preserve"> above, LASA’s Strategic Plan 2015–20 aims ‘To give content to the Constitution through impact litigation – which is able to address Constitutional rights and socio</w:t>
      </w:r>
      <w:r w:rsidRPr="00371644">
        <w:noBreakHyphen/>
        <w:t xml:space="preserve">economic rights and develop jurisprudence on social justice matters.’ </w:t>
      </w:r>
    </w:p>
  </w:footnote>
  <w:footnote w:id="143">
    <w:p w:rsidR="002A0259" w:rsidRPr="00371644" w:rsidRDefault="002A0259" w:rsidP="00CD4AB8">
      <w:pPr>
        <w:pStyle w:val="FootnoteText"/>
      </w:pPr>
      <w:r w:rsidRPr="00371644">
        <w:rPr>
          <w:rStyle w:val="FootnoteReference"/>
        </w:rPr>
        <w:footnoteRef/>
      </w:r>
      <w:r w:rsidRPr="00371644">
        <w:t xml:space="preserve"> </w:t>
      </w:r>
      <w:r w:rsidRPr="00851798">
        <w:rPr>
          <w:i/>
        </w:rPr>
        <w:t>Ibid</w:t>
      </w:r>
      <w:r>
        <w:t>.</w:t>
      </w:r>
    </w:p>
  </w:footnote>
  <w:footnote w:id="144">
    <w:p w:rsidR="002A0259" w:rsidRPr="00371644" w:rsidRDefault="002A0259" w:rsidP="00CD4AB8">
      <w:pPr>
        <w:pStyle w:val="FootnoteText"/>
      </w:pPr>
      <w:r w:rsidRPr="00371644">
        <w:rPr>
          <w:rStyle w:val="FootnoteReference"/>
        </w:rPr>
        <w:footnoteRef/>
      </w:r>
      <w:r w:rsidRPr="00371644">
        <w:t xml:space="preserve"> Bundle 2, page 1040, Note 30.</w:t>
      </w:r>
    </w:p>
  </w:footnote>
  <w:footnote w:id="145">
    <w:p w:rsidR="002A0259" w:rsidRPr="00371644" w:rsidRDefault="002A0259" w:rsidP="00CD4AB8">
      <w:pPr>
        <w:pStyle w:val="FootnoteText"/>
      </w:pPr>
      <w:r w:rsidRPr="00371644">
        <w:rPr>
          <w:rStyle w:val="FootnoteReference"/>
        </w:rPr>
        <w:footnoteRef/>
      </w:r>
      <w:r w:rsidRPr="00371644">
        <w:t xml:space="preserve"> Bundle 2, page 778, paragraph 12.</w:t>
      </w:r>
    </w:p>
  </w:footnote>
  <w:footnote w:id="146">
    <w:p w:rsidR="002A0259" w:rsidRPr="00371644" w:rsidRDefault="002A0259" w:rsidP="00CD4AB8">
      <w:pPr>
        <w:pStyle w:val="FootnoteText"/>
      </w:pPr>
      <w:r w:rsidRPr="00371644">
        <w:rPr>
          <w:rStyle w:val="FootnoteReference"/>
        </w:rPr>
        <w:footnoteRef/>
      </w:r>
      <w:r w:rsidRPr="00371644">
        <w:t xml:space="preserve"> Bundle 1, page 381, paragraphs 14, 15 and 16; page 382, paragraph 22; page 383, paragraph 29; page 385, paragraph 35. </w:t>
      </w:r>
    </w:p>
  </w:footnote>
  <w:footnote w:id="147">
    <w:p w:rsidR="002A0259" w:rsidRPr="00371644" w:rsidRDefault="002A0259" w:rsidP="00CD4AB8">
      <w:pPr>
        <w:pStyle w:val="FootnoteText"/>
      </w:pPr>
      <w:r w:rsidRPr="00371644">
        <w:rPr>
          <w:rStyle w:val="FootnoteReference"/>
        </w:rPr>
        <w:footnoteRef/>
      </w:r>
      <w:r w:rsidRPr="00371644">
        <w:t xml:space="preserve"> Bundle 1, page</w:t>
      </w:r>
      <w:r>
        <w:t>s</w:t>
      </w:r>
      <w:r w:rsidRPr="00371644">
        <w:t xml:space="preserve"> 390–1.</w:t>
      </w:r>
    </w:p>
  </w:footnote>
  <w:footnote w:id="148">
    <w:p w:rsidR="002A0259" w:rsidRPr="00371644" w:rsidRDefault="002A0259" w:rsidP="00CD4AB8">
      <w:pPr>
        <w:pStyle w:val="FootnoteText"/>
      </w:pPr>
      <w:r w:rsidRPr="00371644">
        <w:rPr>
          <w:rStyle w:val="FootnoteReference"/>
        </w:rPr>
        <w:footnoteRef/>
      </w:r>
      <w:r w:rsidRPr="00371644">
        <w:t xml:space="preserve"> Bundle 1, page</w:t>
      </w:r>
      <w:r>
        <w:t>s</w:t>
      </w:r>
      <w:r w:rsidRPr="00371644">
        <w:t xml:space="preserve"> 392–3.</w:t>
      </w:r>
    </w:p>
  </w:footnote>
  <w:footnote w:id="149">
    <w:p w:rsidR="002A0259" w:rsidRPr="00371644" w:rsidRDefault="002A0259" w:rsidP="00CD4AB8">
      <w:pPr>
        <w:pStyle w:val="FootnoteText"/>
      </w:pPr>
      <w:r w:rsidRPr="00371644">
        <w:rPr>
          <w:rStyle w:val="FootnoteReference"/>
        </w:rPr>
        <w:footnoteRef/>
      </w:r>
      <w:r w:rsidRPr="00371644">
        <w:t xml:space="preserve"> </w:t>
      </w:r>
      <w:r>
        <w:t xml:space="preserve">Annexure W to the </w:t>
      </w:r>
      <w:r w:rsidRPr="00371644">
        <w:t>Legal Aid Guide</w:t>
      </w:r>
      <w:r>
        <w:t xml:space="preserve">, titled ‘Legal Services Technical Committee Terms of Reference’, </w:t>
      </w:r>
      <w:r w:rsidRPr="00371644">
        <w:t>explains: ‘The</w:t>
      </w:r>
      <w:r w:rsidR="00E93CF4">
        <w:t xml:space="preserve"> </w:t>
      </w:r>
      <w:r w:rsidRPr="00371644">
        <w:t>Board delegates authority to the CEO, the Management Exco [Management Executive Committee], LSTC [‘Legal Services Technical Committee’], other committees and officials through its Approval Framework.’ Bundle 2, page 767, section 3.2.3. Section 5 of the Guide specifies the ‘Responsibilities of LSTC’: ‘The LSTC shall have collective responsibility for: … 5.3. the execution of Board strategy, policies, programmes and plans relating to the legal services delivery programme of the Legal Aid South Africa.’ Bundle 2, pages 775–6. To be addressed in another part of this complaint to follow, a variety of false</w:t>
      </w:r>
      <w:r>
        <w:t>,</w:t>
      </w:r>
      <w:r w:rsidRPr="00371644">
        <w:t xml:space="preserve"> contradictory claims have been made about who took the decision</w:t>
      </w:r>
      <w:r>
        <w:t xml:space="preserve"> to abort the recruitments and to freeze the posts</w:t>
      </w:r>
      <w:r w:rsidRPr="00371644">
        <w:t>, and who was consulted about it.</w:t>
      </w:r>
      <w:r>
        <w:t xml:space="preserve"> (About which no records exist.)</w:t>
      </w:r>
    </w:p>
  </w:footnote>
  <w:footnote w:id="150">
    <w:p w:rsidR="002A0259" w:rsidRPr="00371644" w:rsidRDefault="002A0259" w:rsidP="00CD4AB8">
      <w:pPr>
        <w:pStyle w:val="FootnoteText"/>
      </w:pPr>
      <w:r w:rsidRPr="00371644">
        <w:rPr>
          <w:rStyle w:val="FootnoteReference"/>
        </w:rPr>
        <w:footnoteRef/>
      </w:r>
      <w:r w:rsidRPr="00371644">
        <w:t xml:space="preserve"> To be discussed in another part of this complaint to follow, Vedalankar claimed (Hundermark almost certainly ghost-writing for her) that she and Nair decided this </w:t>
      </w:r>
      <w:r>
        <w:t xml:space="preserve">‘in July [2010]’ </w:t>
      </w:r>
      <w:r w:rsidRPr="00371644">
        <w:t>–</w:t>
      </w:r>
      <w:r>
        <w:t>untruthfully and anyway</w:t>
      </w:r>
      <w:r w:rsidRPr="00371644">
        <w:t xml:space="preserve"> </w:t>
      </w:r>
      <w:r w:rsidRPr="00371644">
        <w:rPr>
          <w:i/>
        </w:rPr>
        <w:t>ultra vires</w:t>
      </w:r>
      <w:r w:rsidRPr="00371644">
        <w:t xml:space="preserve"> their powers and </w:t>
      </w:r>
      <w:r>
        <w:t xml:space="preserve">therefore </w:t>
      </w:r>
      <w:r w:rsidRPr="00371644">
        <w:t>illegally</w:t>
      </w:r>
      <w:r>
        <w:t xml:space="preserve">. </w:t>
      </w:r>
      <w:r w:rsidRPr="00EE3AF8">
        <w:rPr>
          <w:i/>
        </w:rPr>
        <w:t>First</w:t>
      </w:r>
      <w:r>
        <w:t xml:space="preserve">, as </w:t>
      </w:r>
      <w:r w:rsidRPr="00371644">
        <w:t xml:space="preserve">mentioned just above, the Legal Services Technical Committee is LASA’s decision-making authority in regard to the implementation of Board policy to hire Senior Litigators – as illustrated by its abolition </w:t>
      </w:r>
      <w:r>
        <w:t xml:space="preserve">on 24 March 2010 of the </w:t>
      </w:r>
      <w:r w:rsidRPr="00371644">
        <w:t>Kimberley Senior Litigator post</w:t>
      </w:r>
      <w:r>
        <w:t xml:space="preserve"> </w:t>
      </w:r>
      <w:r w:rsidRPr="00371644">
        <w:t xml:space="preserve">and </w:t>
      </w:r>
      <w:r>
        <w:t xml:space="preserve">its </w:t>
      </w:r>
      <w:r w:rsidRPr="00371644">
        <w:t xml:space="preserve">creation of </w:t>
      </w:r>
      <w:r>
        <w:t xml:space="preserve">the </w:t>
      </w:r>
      <w:r w:rsidRPr="00371644">
        <w:t>Mthatha</w:t>
      </w:r>
      <w:r>
        <w:t xml:space="preserve"> one</w:t>
      </w:r>
      <w:r w:rsidRPr="00371644">
        <w:t xml:space="preserve">. </w:t>
      </w:r>
      <w:r>
        <w:rPr>
          <w:i/>
        </w:rPr>
        <w:t>Second</w:t>
      </w:r>
      <w:r>
        <w:t>, contradicting and refuting her (Hundermark’s) claim that she was party to the original unrecorded, unauthorised decision</w:t>
      </w:r>
      <w:r w:rsidRPr="00942783">
        <w:t xml:space="preserve"> </w:t>
      </w:r>
      <w:r w:rsidRPr="00371644">
        <w:t xml:space="preserve">to </w:t>
      </w:r>
      <w:r>
        <w:t xml:space="preserve">abort </w:t>
      </w:r>
      <w:r w:rsidRPr="00371644">
        <w:t>the Pietermaritzburg and Durban Senior Litigator recruitments</w:t>
      </w:r>
      <w:r>
        <w:t>, Vedalankar’s email records show that by late July 2010 she</w:t>
      </w:r>
      <w:r w:rsidRPr="00371644">
        <w:t xml:space="preserve"> was</w:t>
      </w:r>
      <w:r>
        <w:t>n’t e</w:t>
      </w:r>
      <w:r w:rsidRPr="00371644">
        <w:t>ven aware of the decision</w:t>
      </w:r>
      <w:r>
        <w:t xml:space="preserve">, not </w:t>
      </w:r>
      <w:r w:rsidRPr="00371644">
        <w:t xml:space="preserve">until </w:t>
      </w:r>
      <w:r>
        <w:t>October</w:t>
      </w:r>
      <w:r w:rsidRPr="00371644">
        <w:t xml:space="preserve"> 2010, </w:t>
      </w:r>
      <w:r>
        <w:t>nearly a year</w:t>
      </w:r>
      <w:r w:rsidRPr="00371644">
        <w:t xml:space="preserve"> later</w:t>
      </w:r>
      <w:r>
        <w:t>, when she wrote to the complainant (Hundermark almost certainly ghost-writing) alleging that she and Nair had taken this decision.</w:t>
      </w:r>
    </w:p>
  </w:footnote>
  <w:footnote w:id="151">
    <w:p w:rsidR="002A0259" w:rsidRPr="00371644" w:rsidRDefault="002A0259" w:rsidP="00CD4AB8">
      <w:pPr>
        <w:pStyle w:val="FootnoteText"/>
      </w:pPr>
      <w:r w:rsidRPr="00371644">
        <w:rPr>
          <w:rStyle w:val="FootnoteReference"/>
        </w:rPr>
        <w:footnoteRef/>
      </w:r>
      <w:r w:rsidRPr="00371644">
        <w:t xml:space="preserve"> </w:t>
      </w:r>
      <w:r w:rsidRPr="00371644">
        <w:rPr>
          <w:i/>
        </w:rPr>
        <w:t>Ipso facto</w:t>
      </w:r>
      <w:r w:rsidRPr="00371644">
        <w:t xml:space="preserve"> illegal under the PFMA, as the Constitutional Court confirmed in </w:t>
      </w:r>
      <w:r w:rsidRPr="00371644">
        <w:rPr>
          <w:i/>
        </w:rPr>
        <w:t>Zungu</w:t>
      </w:r>
      <w:r w:rsidRPr="00371644">
        <w:t>.</w:t>
      </w:r>
    </w:p>
  </w:footnote>
  <w:footnote w:id="152">
    <w:p w:rsidR="002A0259" w:rsidRPr="00371644" w:rsidRDefault="002A0259" w:rsidP="00CD4AB8">
      <w:pPr>
        <w:pStyle w:val="FootnoteText"/>
      </w:pPr>
      <w:r w:rsidRPr="00371644">
        <w:rPr>
          <w:rStyle w:val="FootnoteReference"/>
        </w:rPr>
        <w:footnoteRef/>
      </w:r>
      <w:r w:rsidRPr="00371644">
        <w:t xml:space="preserve"> </w:t>
      </w:r>
      <w:r>
        <w:t>To be quoted</w:t>
      </w:r>
      <w:r w:rsidRPr="00371644">
        <w:t xml:space="preserve"> and discussed in another part of this complaint to follow, the several untruthful, mutually contradictory and objectively contradicted</w:t>
      </w:r>
      <w:r>
        <w:t>,</w:t>
      </w:r>
      <w:r w:rsidRPr="00371644">
        <w:t xml:space="preserve"> totally different reasons fabricated and advanced – including on affidavit, to the Minister, to the Portfolio Committee, and to the courts – have zigzagged wildly over time</w:t>
      </w:r>
      <w:r>
        <w:t>, ultimately criminally</w:t>
      </w:r>
      <w:r w:rsidRPr="00371644">
        <w:t>.</w:t>
      </w:r>
    </w:p>
  </w:footnote>
  <w:footnote w:id="153">
    <w:p w:rsidR="002A0259" w:rsidRPr="00371644" w:rsidRDefault="002A0259" w:rsidP="00CD4AB8">
      <w:pPr>
        <w:pStyle w:val="FootnoteText"/>
      </w:pPr>
      <w:r w:rsidRPr="00371644">
        <w:rPr>
          <w:rStyle w:val="FootnoteReference"/>
        </w:rPr>
        <w:footnoteRef/>
      </w:r>
      <w:r w:rsidRPr="00371644">
        <w:t xml:space="preserve"> Until the selection and recommendation of suitable candidates for appointment to the Pietermaritzburg and Durban Senior Litigator posts in November 2009, when the recruitment process was quietly halted, LASA had repeatedly tried filling the posts, as required </w:t>
      </w:r>
      <w:r>
        <w:t xml:space="preserve">by </w:t>
      </w:r>
      <w:r w:rsidRPr="00371644">
        <w:t xml:space="preserve">the PFMA and </w:t>
      </w:r>
      <w:r>
        <w:t xml:space="preserve">the </w:t>
      </w:r>
      <w:r w:rsidRPr="00371644">
        <w:t>Public Service Regulations</w:t>
      </w:r>
      <w:r>
        <w:t>, and had</w:t>
      </w:r>
      <w:r w:rsidRPr="00371644">
        <w:t xml:space="preserve"> advertis</w:t>
      </w:r>
      <w:r>
        <w:t xml:space="preserve">ed them </w:t>
      </w:r>
      <w:r w:rsidRPr="00371644">
        <w:t>repeated</w:t>
      </w:r>
      <w:r>
        <w:t>ly</w:t>
      </w:r>
      <w:r w:rsidRPr="00371644">
        <w:t xml:space="preserve">: </w:t>
      </w:r>
      <w:r>
        <w:t xml:space="preserve">first </w:t>
      </w:r>
      <w:r w:rsidRPr="00371644">
        <w:t>in 2007 and twice again in 2009 (Bundle 1, page 537, and pages 43 and 45). Created in March 2010 (Bundle 2, page</w:t>
      </w:r>
      <w:r>
        <w:t> </w:t>
      </w:r>
      <w:r w:rsidRPr="00371644">
        <w:t>709, paragraph 4.1.7; and Bundle 3, page 1120), the Mthatha Senior Litigator post was advertised the following month in April (Bundle 3, page 111</w:t>
      </w:r>
      <w:r>
        <w:t>1: ‘Closing date – 07 May 2010’)</w:t>
      </w:r>
      <w:r w:rsidRPr="00371644">
        <w:t>, and</w:t>
      </w:r>
      <w:r w:rsidR="00E93CF4">
        <w:t xml:space="preserve"> </w:t>
      </w:r>
      <w:r w:rsidRPr="00371644">
        <w:t xml:space="preserve">after </w:t>
      </w:r>
      <w:r>
        <w:t xml:space="preserve">the </w:t>
      </w:r>
      <w:r w:rsidRPr="00371644">
        <w:t>short-listing of applicants in May (Bundle 3, pages 112</w:t>
      </w:r>
      <w:r>
        <w:t>2</w:t>
      </w:r>
      <w:r w:rsidRPr="00371644">
        <w:t>–</w:t>
      </w:r>
      <w:r>
        <w:t>3</w:t>
      </w:r>
      <w:r w:rsidRPr="00371644">
        <w:t xml:space="preserve">), interviews were held and a selection and recommendation made </w:t>
      </w:r>
      <w:r>
        <w:t>on 24 May</w:t>
      </w:r>
      <w:r w:rsidRPr="00371644">
        <w:t xml:space="preserve"> (Bundle 3, page 112</w:t>
      </w:r>
      <w:r>
        <w:t>2</w:t>
      </w:r>
      <w:r w:rsidRPr="00371644">
        <w:t>; and Bundle 2, pages 994–7).</w:t>
      </w:r>
    </w:p>
  </w:footnote>
  <w:footnote w:id="154">
    <w:p w:rsidR="002A0259" w:rsidRPr="00371644" w:rsidRDefault="002A0259" w:rsidP="00CD4AB8">
      <w:pPr>
        <w:pStyle w:val="FootnoteText"/>
      </w:pPr>
      <w:r w:rsidRPr="00371644">
        <w:rPr>
          <w:rStyle w:val="FootnoteReference"/>
        </w:rPr>
        <w:footnoteRef/>
      </w:r>
      <w:r w:rsidRPr="00371644">
        <w:t xml:space="preserve"> Bundle 2, page 1034.</w:t>
      </w:r>
    </w:p>
  </w:footnote>
  <w:footnote w:id="155">
    <w:p w:rsidR="002A0259" w:rsidRPr="00371644" w:rsidRDefault="002A0259" w:rsidP="00CD4AB8">
      <w:pPr>
        <w:pStyle w:val="FootnoteText"/>
      </w:pPr>
      <w:r w:rsidRPr="00371644">
        <w:rPr>
          <w:rStyle w:val="FootnoteReference"/>
        </w:rPr>
        <w:footnoteRef/>
      </w:r>
      <w:r w:rsidRPr="00371644">
        <w:t xml:space="preserve"> Ibid.</w:t>
      </w:r>
    </w:p>
  </w:footnote>
  <w:footnote w:id="156">
    <w:p w:rsidR="002A0259" w:rsidRPr="00371644" w:rsidRDefault="002A0259" w:rsidP="00CD4AB8">
      <w:pPr>
        <w:pStyle w:val="FootnoteText"/>
      </w:pPr>
      <w:r w:rsidRPr="00371644">
        <w:rPr>
          <w:rStyle w:val="FootnoteReference"/>
        </w:rPr>
        <w:footnoteRef/>
      </w:r>
      <w:r w:rsidRPr="00371644">
        <w:t xml:space="preserve"> Bundle 1, page 385, paragraph 36.</w:t>
      </w:r>
    </w:p>
  </w:footnote>
  <w:footnote w:id="157">
    <w:p w:rsidR="002A0259" w:rsidRPr="00371644" w:rsidRDefault="002A0259" w:rsidP="00CD4AB8">
      <w:pPr>
        <w:pStyle w:val="FootnoteText"/>
      </w:pPr>
      <w:r w:rsidRPr="00371644">
        <w:rPr>
          <w:rStyle w:val="FootnoteReference"/>
        </w:rPr>
        <w:footnoteRef/>
      </w:r>
      <w:r w:rsidRPr="00371644">
        <w:t xml:space="preserve"> In November 2011, two years after the illegal</w:t>
      </w:r>
      <w:r>
        <w:t>, concealed</w:t>
      </w:r>
      <w:r w:rsidRPr="00371644">
        <w:t xml:space="preserve"> abortion of the Pietermaritzburg and Durban Senior Litigator recruitments in November 2009, NOE Nair mentioned incidentally in a </w:t>
      </w:r>
      <w:r>
        <w:t>‘</w:t>
      </w:r>
      <w:r w:rsidRPr="00371644">
        <w:t>Report to Board</w:t>
      </w:r>
      <w:r>
        <w:t>’</w:t>
      </w:r>
      <w:r w:rsidRPr="00371644">
        <w:t xml:space="preserve"> that the posts hadn’t been filled – not because of lack of budget </w:t>
      </w:r>
      <w:r>
        <w:t xml:space="preserve">for them, </w:t>
      </w:r>
      <w:r w:rsidRPr="00371644">
        <w:t xml:space="preserve">as originally falsely alleged, but </w:t>
      </w:r>
      <w:r>
        <w:t>for other equally false reasons enumerated in footnote 135 above.</w:t>
      </w:r>
      <w:r w:rsidRPr="00371644">
        <w:t xml:space="preserve"> All the chopping and changing excuses for not filling the three vacant posts will be treated in another part of this complaint to follow.</w:t>
      </w:r>
    </w:p>
  </w:footnote>
  <w:footnote w:id="158">
    <w:p w:rsidR="002A0259" w:rsidRPr="00371644" w:rsidRDefault="002A0259" w:rsidP="00CD4AB8">
      <w:pPr>
        <w:pStyle w:val="FootnoteText"/>
      </w:pPr>
      <w:r w:rsidRPr="00371644">
        <w:rPr>
          <w:rStyle w:val="FootnoteReference"/>
        </w:rPr>
        <w:footnoteRef/>
      </w:r>
      <w:r w:rsidRPr="00371644">
        <w:t xml:space="preserve"> Bundle 2, page 897.</w:t>
      </w:r>
    </w:p>
  </w:footnote>
  <w:footnote w:id="159">
    <w:p w:rsidR="002A0259" w:rsidRDefault="002A0259" w:rsidP="00CD4AB8">
      <w:pPr>
        <w:pStyle w:val="FootnoteText"/>
      </w:pPr>
      <w:r>
        <w:rPr>
          <w:rStyle w:val="FootnoteReference"/>
        </w:rPr>
        <w:footnoteRef/>
      </w:r>
      <w:r>
        <w:t xml:space="preserve"> Bundle 3, paragraph 3.2.3.c.</w:t>
      </w:r>
    </w:p>
  </w:footnote>
  <w:footnote w:id="160">
    <w:p w:rsidR="002A0259" w:rsidRPr="00371644" w:rsidRDefault="002A0259" w:rsidP="00CD4AB8">
      <w:pPr>
        <w:pStyle w:val="FootnoteText"/>
      </w:pPr>
      <w:r w:rsidRPr="00371644">
        <w:rPr>
          <w:rStyle w:val="FootnoteReference"/>
        </w:rPr>
        <w:footnoteRef/>
      </w:r>
      <w:r w:rsidRPr="00371644">
        <w:t xml:space="preserve"> Bundle 2, page 897.</w:t>
      </w:r>
    </w:p>
  </w:footnote>
  <w:footnote w:id="161">
    <w:p w:rsidR="002A0259" w:rsidRPr="00371644" w:rsidRDefault="002A0259" w:rsidP="00CD4AB8">
      <w:pPr>
        <w:pStyle w:val="FootnoteText"/>
      </w:pPr>
      <w:r w:rsidRPr="00371644">
        <w:rPr>
          <w:rStyle w:val="FootnoteReference"/>
        </w:rPr>
        <w:footnoteRef/>
      </w:r>
      <w:r w:rsidRPr="00371644">
        <w:t xml:space="preserve"> Bundle 2, page 902.</w:t>
      </w:r>
    </w:p>
  </w:footnote>
  <w:footnote w:id="162">
    <w:p w:rsidR="002A0259" w:rsidRPr="00371644" w:rsidRDefault="002A0259" w:rsidP="00CD4AB8">
      <w:pPr>
        <w:pStyle w:val="FootnoteText"/>
      </w:pPr>
      <w:r w:rsidRPr="00371644">
        <w:rPr>
          <w:rStyle w:val="FootnoteReference"/>
        </w:rPr>
        <w:footnoteRef/>
      </w:r>
      <w:r w:rsidRPr="00371644">
        <w:t xml:space="preserve"> Bundle 2, page 1054.</w:t>
      </w:r>
    </w:p>
  </w:footnote>
  <w:footnote w:id="163">
    <w:p w:rsidR="002A0259" w:rsidRPr="00371644" w:rsidRDefault="002A0259" w:rsidP="00CD4AB8">
      <w:pPr>
        <w:pStyle w:val="FootnoteText"/>
      </w:pPr>
      <w:r w:rsidRPr="00371644">
        <w:rPr>
          <w:rStyle w:val="FootnoteReference"/>
        </w:rPr>
        <w:footnoteRef/>
      </w:r>
      <w:r w:rsidRPr="00371644">
        <w:t xml:space="preserve"> Bundle 2, page 902.</w:t>
      </w:r>
    </w:p>
  </w:footnote>
  <w:footnote w:id="164">
    <w:p w:rsidR="002A0259" w:rsidRPr="00371644" w:rsidRDefault="002A0259" w:rsidP="00CD4AB8">
      <w:pPr>
        <w:pStyle w:val="FootnoteText"/>
      </w:pPr>
      <w:r w:rsidRPr="00371644">
        <w:rPr>
          <w:rStyle w:val="FootnoteReference"/>
        </w:rPr>
        <w:footnoteRef/>
      </w:r>
      <w:r w:rsidRPr="00371644">
        <w:t xml:space="preserve"> Ibid.</w:t>
      </w:r>
    </w:p>
  </w:footnote>
  <w:footnote w:id="165">
    <w:p w:rsidR="002A0259" w:rsidRPr="00371644" w:rsidRDefault="002A0259" w:rsidP="00CD4AB8">
      <w:pPr>
        <w:pStyle w:val="FootnoteText"/>
      </w:pPr>
      <w:r w:rsidRPr="00371644">
        <w:rPr>
          <w:rStyle w:val="FootnoteReference"/>
        </w:rPr>
        <w:footnoteRef/>
      </w:r>
      <w:r w:rsidRPr="00371644">
        <w:t xml:space="preserve"> Bundle 1, p</w:t>
      </w:r>
      <w:r w:rsidRPr="00371644">
        <w:rPr>
          <w:rFonts w:cs="Arial"/>
        </w:rPr>
        <w:t>age 45.</w:t>
      </w:r>
    </w:p>
  </w:footnote>
  <w:footnote w:id="166">
    <w:p w:rsidR="002A0259" w:rsidRPr="00371644" w:rsidRDefault="002A0259" w:rsidP="00CD4AB8">
      <w:pPr>
        <w:pStyle w:val="FootnoteText"/>
      </w:pPr>
      <w:r w:rsidRPr="00371644">
        <w:rPr>
          <w:rStyle w:val="FootnoteReference"/>
        </w:rPr>
        <w:footnoteRef/>
      </w:r>
      <w:r w:rsidRPr="00371644">
        <w:t xml:space="preserve"> Bundle 1, p</w:t>
      </w:r>
      <w:r w:rsidRPr="00371644">
        <w:rPr>
          <w:rFonts w:cs="Arial"/>
        </w:rPr>
        <w:t>age</w:t>
      </w:r>
      <w:r w:rsidRPr="00371644">
        <w:t xml:space="preserve"> 142, paragraph 153.</w:t>
      </w:r>
    </w:p>
  </w:footnote>
  <w:footnote w:id="167">
    <w:p w:rsidR="002A0259" w:rsidRPr="00371644" w:rsidRDefault="002A0259" w:rsidP="00CD4AB8">
      <w:pPr>
        <w:pStyle w:val="FootnoteText"/>
      </w:pPr>
      <w:r w:rsidRPr="00371644">
        <w:rPr>
          <w:rStyle w:val="FootnoteReference"/>
        </w:rPr>
        <w:footnoteRef/>
      </w:r>
      <w:r w:rsidRPr="00371644">
        <w:t xml:space="preserve"> Bundle 2, pages 825–6. </w:t>
      </w:r>
    </w:p>
  </w:footnote>
  <w:footnote w:id="168">
    <w:p w:rsidR="002A0259" w:rsidRPr="00371644" w:rsidRDefault="002A0259" w:rsidP="00CD4AB8">
      <w:pPr>
        <w:pStyle w:val="FootnoteText"/>
      </w:pPr>
      <w:r w:rsidRPr="00371644">
        <w:rPr>
          <w:rStyle w:val="FootnoteReference"/>
        </w:rPr>
        <w:footnoteRef/>
      </w:r>
      <w:r w:rsidRPr="00371644">
        <w:t xml:space="preserve"> Bundle 2, page 869.</w:t>
      </w:r>
    </w:p>
  </w:footnote>
  <w:footnote w:id="169">
    <w:p w:rsidR="002A0259" w:rsidRPr="00371644" w:rsidRDefault="002A0259" w:rsidP="00CD4AB8">
      <w:pPr>
        <w:pStyle w:val="FootnoteText"/>
      </w:pPr>
      <w:r w:rsidRPr="00371644">
        <w:rPr>
          <w:rStyle w:val="FootnoteReference"/>
        </w:rPr>
        <w:footnoteRef/>
      </w:r>
      <w:r w:rsidRPr="00371644">
        <w:t xml:space="preserve"> Under section 8.2.2.b of the Approval Framework, NOE Nair has ‘Final approval’ </w:t>
      </w:r>
      <w:r>
        <w:t>authority</w:t>
      </w:r>
      <w:r w:rsidRPr="00371644">
        <w:t xml:space="preserve">, subject to </w:t>
      </w:r>
      <w:r>
        <w:t xml:space="preserve">the </w:t>
      </w:r>
      <w:r w:rsidRPr="00371644">
        <w:t xml:space="preserve">assent </w:t>
      </w:r>
      <w:r>
        <w:t xml:space="preserve">of the </w:t>
      </w:r>
      <w:r w:rsidRPr="00371644">
        <w:t>CEO</w:t>
      </w:r>
      <w:r>
        <w:t xml:space="preserve"> (then </w:t>
      </w:r>
      <w:r w:rsidRPr="00371644">
        <w:t>Vedalankar</w:t>
      </w:r>
      <w:r>
        <w:t>)</w:t>
      </w:r>
      <w:r w:rsidRPr="00371644">
        <w:t>; she ‘Must agree’. Bundle 2, page 1036.</w:t>
      </w:r>
    </w:p>
  </w:footnote>
  <w:footnote w:id="170">
    <w:p w:rsidR="002A0259" w:rsidRDefault="002A0259" w:rsidP="00CD4AB8">
      <w:pPr>
        <w:pStyle w:val="FootnoteText"/>
      </w:pPr>
      <w:r>
        <w:rPr>
          <w:rStyle w:val="FootnoteReference"/>
        </w:rPr>
        <w:footnoteRef/>
      </w:r>
      <w:r>
        <w:t xml:space="preserve"> The Department’s representative</w:t>
      </w:r>
      <w:r w:rsidRPr="007178E5">
        <w:t xml:space="preserve"> </w:t>
      </w:r>
      <w:r>
        <w:t xml:space="preserve">on the Board, </w:t>
      </w:r>
      <w:r w:rsidRPr="007178E5">
        <w:t>Pieter du Rand</w:t>
      </w:r>
      <w:r>
        <w:t>, was then and is still a member.</w:t>
      </w:r>
    </w:p>
  </w:footnote>
  <w:footnote w:id="171">
    <w:p w:rsidR="002A0259" w:rsidRDefault="002A0259" w:rsidP="00CD4AB8">
      <w:pPr>
        <w:pStyle w:val="FootnoteText"/>
      </w:pPr>
      <w:r>
        <w:rPr>
          <w:rStyle w:val="FootnoteReference"/>
        </w:rPr>
        <w:footnoteRef/>
      </w:r>
      <w:r>
        <w:t xml:space="preserve"> Du Rand can be.</w:t>
      </w:r>
    </w:p>
  </w:footnote>
  <w:footnote w:id="172">
    <w:p w:rsidR="002A0259" w:rsidRDefault="002A0259" w:rsidP="00CD4AB8">
      <w:pPr>
        <w:pStyle w:val="FootnoteText"/>
      </w:pPr>
      <w:r>
        <w:rPr>
          <w:rStyle w:val="FootnoteReference"/>
        </w:rPr>
        <w:footnoteRef/>
      </w:r>
      <w:r>
        <w:t xml:space="preserve"> Including Du Rand.</w:t>
      </w:r>
    </w:p>
  </w:footnote>
  <w:footnote w:id="173">
    <w:p w:rsidR="002A0259" w:rsidRPr="00371644" w:rsidRDefault="002A0259" w:rsidP="00CD4AB8">
      <w:pPr>
        <w:pStyle w:val="FootnoteText"/>
      </w:pPr>
      <w:r w:rsidRPr="00371644">
        <w:rPr>
          <w:rStyle w:val="FootnoteReference"/>
        </w:rPr>
        <w:footnoteRef/>
      </w:r>
      <w:r w:rsidRPr="00371644">
        <w:t xml:space="preserve"> Under section 1 of the PAA, a ‘material irregularity’ includes ‘any ... contravention of</w:t>
      </w:r>
      <w:r w:rsidR="00E93CF4">
        <w:t xml:space="preserve"> </w:t>
      </w:r>
      <w:r w:rsidRPr="00371644">
        <w:t>...</w:t>
      </w:r>
      <w:r w:rsidR="00E93CF4">
        <w:t xml:space="preserve"> </w:t>
      </w:r>
      <w:r w:rsidRPr="00371644">
        <w:t>legislation’, and under section 5(1A)</w:t>
      </w:r>
      <w:r>
        <w:t xml:space="preserve"> this statutory crime </w:t>
      </w:r>
      <w:r w:rsidRPr="00371644">
        <w:t xml:space="preserve">is </w:t>
      </w:r>
      <w:r>
        <w:t>of</w:t>
      </w:r>
      <w:r w:rsidRPr="00371644">
        <w:t xml:space="preserve"> direct concern </w:t>
      </w:r>
      <w:r>
        <w:t>to</w:t>
      </w:r>
      <w:r w:rsidRPr="00371644">
        <w:t xml:space="preserve"> the Auditor</w:t>
      </w:r>
      <w:r>
        <w:noBreakHyphen/>
      </w:r>
      <w:r w:rsidRPr="00371644">
        <w:t>General.</w:t>
      </w:r>
    </w:p>
  </w:footnote>
  <w:footnote w:id="174">
    <w:p w:rsidR="002A0259" w:rsidRPr="00371644" w:rsidRDefault="002A0259" w:rsidP="00CD4AB8">
      <w:pPr>
        <w:pStyle w:val="FootnoteText"/>
      </w:pPr>
      <w:r w:rsidRPr="00371644">
        <w:rPr>
          <w:rStyle w:val="FootnoteReference"/>
        </w:rPr>
        <w:footnoteRef/>
      </w:r>
      <w:r w:rsidRPr="00371644">
        <w:t xml:space="preserve"> Bundle 2, page 1058. More examples of their dishonestly false, criminal reporting to the Portfolio Committee </w:t>
      </w:r>
      <w:r>
        <w:t xml:space="preserve">on other occasions </w:t>
      </w:r>
      <w:r w:rsidRPr="00371644">
        <w:t>will be canvassed in other parts of this complaint to follow.</w:t>
      </w:r>
    </w:p>
  </w:footnote>
  <w:footnote w:id="175">
    <w:p w:rsidR="002A0259" w:rsidRPr="00371644" w:rsidRDefault="002A0259" w:rsidP="00CD4AB8">
      <w:pPr>
        <w:pStyle w:val="FootnoteText"/>
      </w:pPr>
      <w:r w:rsidRPr="00371644">
        <w:rPr>
          <w:rStyle w:val="FootnoteReference"/>
        </w:rPr>
        <w:footnoteRef/>
      </w:r>
      <w:r w:rsidRPr="00371644">
        <w:t xml:space="preserve"> Clark’s deposition to conflicting false affidavits, a crime, will be treated in another part of this complaint to follow.</w:t>
      </w:r>
    </w:p>
  </w:footnote>
  <w:footnote w:id="176">
    <w:p w:rsidR="002A0259" w:rsidRPr="00371644" w:rsidRDefault="002A0259" w:rsidP="00CD4AB8">
      <w:pPr>
        <w:pStyle w:val="FootnoteText"/>
      </w:pPr>
      <w:r w:rsidRPr="00371644">
        <w:rPr>
          <w:rStyle w:val="FootnoteReference"/>
        </w:rPr>
        <w:footnoteRef/>
      </w:r>
      <w:r w:rsidRPr="00371644">
        <w:t xml:space="preserve"> Bundle 2, page 877, ‘Responsible Executive’: ‘HRE’.</w:t>
      </w:r>
    </w:p>
  </w:footnote>
  <w:footnote w:id="177">
    <w:p w:rsidR="002A0259" w:rsidRPr="00371644" w:rsidRDefault="002A0259" w:rsidP="00CD4AB8">
      <w:pPr>
        <w:pStyle w:val="FootnoteText"/>
      </w:pPr>
      <w:r w:rsidRPr="00371644">
        <w:rPr>
          <w:rStyle w:val="FootnoteReference"/>
        </w:rPr>
        <w:footnoteRef/>
      </w:r>
      <w:r w:rsidRPr="00371644">
        <w:t xml:space="preserve"> Bundle 3, page 1104, paragraph 6.1.</w:t>
      </w:r>
    </w:p>
  </w:footnote>
  <w:footnote w:id="178">
    <w:p w:rsidR="002A0259" w:rsidRPr="00371644" w:rsidRDefault="002A0259" w:rsidP="00CD4AB8">
      <w:pPr>
        <w:pStyle w:val="FootnoteText"/>
      </w:pPr>
      <w:r w:rsidRPr="00371644">
        <w:rPr>
          <w:rStyle w:val="FootnoteReference"/>
        </w:rPr>
        <w:footnoteRef/>
      </w:r>
      <w:r w:rsidRPr="00371644">
        <w:t xml:space="preserve"> As mentioned </w:t>
      </w:r>
      <w:r>
        <w:t xml:space="preserve">in paragraph 60 </w:t>
      </w:r>
      <w:r w:rsidRPr="00371644">
        <w:t xml:space="preserve">above, in March 2010 the Kimberly post was abolished and a new post created at Mthatha, with the budget for the former transferred to the latter. </w:t>
      </w:r>
    </w:p>
  </w:footnote>
  <w:footnote w:id="179">
    <w:p w:rsidR="002A0259" w:rsidRPr="00371644" w:rsidRDefault="002A0259" w:rsidP="00CD4AB8">
      <w:pPr>
        <w:pStyle w:val="FootnoteText"/>
      </w:pPr>
      <w:r w:rsidRPr="00371644">
        <w:rPr>
          <w:rStyle w:val="FootnoteReference"/>
        </w:rPr>
        <w:footnoteRef/>
      </w:r>
      <w:r w:rsidRPr="00371644">
        <w:t xml:space="preserve"> Bundle 1, pages 244–8.</w:t>
      </w:r>
    </w:p>
  </w:footnote>
  <w:footnote w:id="180">
    <w:p w:rsidR="002A0259" w:rsidRPr="00371644" w:rsidRDefault="002A0259" w:rsidP="00CD4AB8">
      <w:pPr>
        <w:pStyle w:val="FootnoteText"/>
      </w:pPr>
      <w:r w:rsidRPr="00371644">
        <w:rPr>
          <w:rStyle w:val="FootnoteReference"/>
        </w:rPr>
        <w:footnoteRef/>
      </w:r>
      <w:r w:rsidRPr="00371644">
        <w:t xml:space="preserve"> Bundle 2, pages 994–7.</w:t>
      </w:r>
    </w:p>
  </w:footnote>
  <w:footnote w:id="181">
    <w:p w:rsidR="002A0259" w:rsidRPr="00371644" w:rsidRDefault="002A0259" w:rsidP="004A1FFC">
      <w:pPr>
        <w:autoSpaceDE w:val="0"/>
        <w:autoSpaceDN w:val="0"/>
        <w:adjustRightInd w:val="0"/>
        <w:spacing w:after="0" w:line="240" w:lineRule="auto"/>
        <w:rPr>
          <w:rFonts w:ascii="Century Schoolbook" w:hAnsi="Century Schoolbook"/>
          <w:color w:val="000000" w:themeColor="text1"/>
          <w:sz w:val="20"/>
          <w:szCs w:val="20"/>
        </w:rPr>
      </w:pPr>
      <w:r w:rsidRPr="00371644">
        <w:rPr>
          <w:rStyle w:val="FootnoteReference"/>
          <w:rFonts w:ascii="Century Schoolbook" w:hAnsi="Century Schoolbook"/>
          <w:color w:val="000000" w:themeColor="text1"/>
          <w:sz w:val="20"/>
          <w:szCs w:val="20"/>
        </w:rPr>
        <w:footnoteRef/>
      </w:r>
      <w:r w:rsidRPr="00371644">
        <w:rPr>
          <w:rFonts w:ascii="Century Schoolbook" w:hAnsi="Century Schoolbook"/>
          <w:color w:val="000000" w:themeColor="text1"/>
          <w:sz w:val="20"/>
          <w:szCs w:val="20"/>
        </w:rPr>
        <w:t xml:space="preserve"> Bundle 2, page 877. To be shown in another part of this complaint to follow, Clark mendaciously and later perjuriously participated in covering up the corrupt, illegal abortion of the Pietermaritzburg and Durban Senior Litigator recruitments.</w:t>
      </w:r>
    </w:p>
  </w:footnote>
  <w:footnote w:id="182">
    <w:p w:rsidR="002A0259" w:rsidRPr="00371644" w:rsidRDefault="002A0259" w:rsidP="00CD4AB8">
      <w:pPr>
        <w:pStyle w:val="FootnoteText"/>
      </w:pPr>
      <w:r w:rsidRPr="00371644">
        <w:rPr>
          <w:rStyle w:val="FootnoteReference"/>
        </w:rPr>
        <w:footnoteRef/>
      </w:r>
      <w:r w:rsidRPr="00371644">
        <w:t xml:space="preserve"> To be detailed with supporting documents in another part of this complaint to follow.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83E"/>
    <w:multiLevelType w:val="hybridMultilevel"/>
    <w:tmpl w:val="F01040AC"/>
    <w:lvl w:ilvl="0" w:tplc="30DE1E54">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074C1316"/>
    <w:multiLevelType w:val="hybridMultilevel"/>
    <w:tmpl w:val="C67ABF76"/>
    <w:lvl w:ilvl="0" w:tplc="7B168620">
      <w:start w:val="3"/>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9A52203"/>
    <w:multiLevelType w:val="hybridMultilevel"/>
    <w:tmpl w:val="1D8621DA"/>
    <w:lvl w:ilvl="0" w:tplc="C5FA878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0A4B207B"/>
    <w:multiLevelType w:val="hybridMultilevel"/>
    <w:tmpl w:val="5534228C"/>
    <w:lvl w:ilvl="0" w:tplc="62FE2A12">
      <w:start w:val="1"/>
      <w:numFmt w:val="decimal"/>
      <w:lvlText w:val="(%1)"/>
      <w:lvlJc w:val="left"/>
      <w:pPr>
        <w:ind w:left="1131" w:hanging="360"/>
      </w:pPr>
      <w:rPr>
        <w:rFonts w:hint="default"/>
      </w:rPr>
    </w:lvl>
    <w:lvl w:ilvl="1" w:tplc="1C090019" w:tentative="1">
      <w:start w:val="1"/>
      <w:numFmt w:val="lowerLetter"/>
      <w:lvlText w:val="%2."/>
      <w:lvlJc w:val="left"/>
      <w:pPr>
        <w:ind w:left="1851" w:hanging="360"/>
      </w:pPr>
    </w:lvl>
    <w:lvl w:ilvl="2" w:tplc="1C09001B" w:tentative="1">
      <w:start w:val="1"/>
      <w:numFmt w:val="lowerRoman"/>
      <w:lvlText w:val="%3."/>
      <w:lvlJc w:val="right"/>
      <w:pPr>
        <w:ind w:left="2571" w:hanging="180"/>
      </w:pPr>
    </w:lvl>
    <w:lvl w:ilvl="3" w:tplc="1C09000F" w:tentative="1">
      <w:start w:val="1"/>
      <w:numFmt w:val="decimal"/>
      <w:lvlText w:val="%4."/>
      <w:lvlJc w:val="left"/>
      <w:pPr>
        <w:ind w:left="3291" w:hanging="360"/>
      </w:pPr>
    </w:lvl>
    <w:lvl w:ilvl="4" w:tplc="1C090019" w:tentative="1">
      <w:start w:val="1"/>
      <w:numFmt w:val="lowerLetter"/>
      <w:lvlText w:val="%5."/>
      <w:lvlJc w:val="left"/>
      <w:pPr>
        <w:ind w:left="4011" w:hanging="360"/>
      </w:pPr>
    </w:lvl>
    <w:lvl w:ilvl="5" w:tplc="1C09001B" w:tentative="1">
      <w:start w:val="1"/>
      <w:numFmt w:val="lowerRoman"/>
      <w:lvlText w:val="%6."/>
      <w:lvlJc w:val="right"/>
      <w:pPr>
        <w:ind w:left="4731" w:hanging="180"/>
      </w:pPr>
    </w:lvl>
    <w:lvl w:ilvl="6" w:tplc="1C09000F" w:tentative="1">
      <w:start w:val="1"/>
      <w:numFmt w:val="decimal"/>
      <w:lvlText w:val="%7."/>
      <w:lvlJc w:val="left"/>
      <w:pPr>
        <w:ind w:left="5451" w:hanging="360"/>
      </w:pPr>
    </w:lvl>
    <w:lvl w:ilvl="7" w:tplc="1C090019" w:tentative="1">
      <w:start w:val="1"/>
      <w:numFmt w:val="lowerLetter"/>
      <w:lvlText w:val="%8."/>
      <w:lvlJc w:val="left"/>
      <w:pPr>
        <w:ind w:left="6171" w:hanging="360"/>
      </w:pPr>
    </w:lvl>
    <w:lvl w:ilvl="8" w:tplc="1C09001B" w:tentative="1">
      <w:start w:val="1"/>
      <w:numFmt w:val="lowerRoman"/>
      <w:lvlText w:val="%9."/>
      <w:lvlJc w:val="right"/>
      <w:pPr>
        <w:ind w:left="6891" w:hanging="180"/>
      </w:pPr>
    </w:lvl>
  </w:abstractNum>
  <w:abstractNum w:abstractNumId="4">
    <w:nsid w:val="11372FBA"/>
    <w:multiLevelType w:val="hybridMultilevel"/>
    <w:tmpl w:val="43EC01C0"/>
    <w:lvl w:ilvl="0" w:tplc="04090003">
      <w:start w:val="1"/>
      <w:numFmt w:val="bullet"/>
      <w:lvlText w:val="o"/>
      <w:lvlJc w:val="left"/>
      <w:pPr>
        <w:ind w:left="644" w:hanging="360"/>
      </w:pPr>
      <w:rPr>
        <w:rFonts w:ascii="Courier New" w:hAnsi="Courier New" w:cs="Courier New"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
    <w:nsid w:val="17B95C97"/>
    <w:multiLevelType w:val="hybridMultilevel"/>
    <w:tmpl w:val="8D00B7D2"/>
    <w:lvl w:ilvl="0" w:tplc="6F1CFA7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18F76B7D"/>
    <w:multiLevelType w:val="multilevel"/>
    <w:tmpl w:val="B0EE11B8"/>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DB95A25"/>
    <w:multiLevelType w:val="hybridMultilevel"/>
    <w:tmpl w:val="ED84A420"/>
    <w:lvl w:ilvl="0" w:tplc="BD82DB80">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8235AB7"/>
    <w:multiLevelType w:val="hybridMultilevel"/>
    <w:tmpl w:val="C02A9A1A"/>
    <w:lvl w:ilvl="0" w:tplc="5AF4DBC0">
      <w:start w:val="1"/>
      <w:numFmt w:val="decimal"/>
      <w:lvlText w:val="%1."/>
      <w:lvlJc w:val="left"/>
      <w:pPr>
        <w:ind w:left="360" w:hanging="360"/>
      </w:pPr>
      <w:rPr>
        <w:rFonts w:asciiTheme="minorHAnsi" w:hAnsiTheme="minorHAnsi" w:hint="default"/>
        <w:i w:val="0"/>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ABE4C0E"/>
    <w:multiLevelType w:val="hybridMultilevel"/>
    <w:tmpl w:val="226ABDF4"/>
    <w:lvl w:ilvl="0" w:tplc="B02E87CC">
      <w:start w:val="1"/>
      <w:numFmt w:val="lowerLetter"/>
      <w:lvlText w:val="(%1)"/>
      <w:lvlJc w:val="left"/>
      <w:pPr>
        <w:ind w:left="2748" w:hanging="360"/>
      </w:pPr>
      <w:rPr>
        <w:rFonts w:hint="default"/>
        <w:color w:val="000000" w:themeColor="text1"/>
      </w:rPr>
    </w:lvl>
    <w:lvl w:ilvl="1" w:tplc="1C090019" w:tentative="1">
      <w:start w:val="1"/>
      <w:numFmt w:val="lowerLetter"/>
      <w:lvlText w:val="%2."/>
      <w:lvlJc w:val="left"/>
      <w:pPr>
        <w:ind w:left="3468" w:hanging="360"/>
      </w:pPr>
    </w:lvl>
    <w:lvl w:ilvl="2" w:tplc="1C09001B" w:tentative="1">
      <w:start w:val="1"/>
      <w:numFmt w:val="lowerRoman"/>
      <w:lvlText w:val="%3."/>
      <w:lvlJc w:val="right"/>
      <w:pPr>
        <w:ind w:left="4188" w:hanging="180"/>
      </w:pPr>
    </w:lvl>
    <w:lvl w:ilvl="3" w:tplc="1C09000F" w:tentative="1">
      <w:start w:val="1"/>
      <w:numFmt w:val="decimal"/>
      <w:lvlText w:val="%4."/>
      <w:lvlJc w:val="left"/>
      <w:pPr>
        <w:ind w:left="4908" w:hanging="360"/>
      </w:pPr>
    </w:lvl>
    <w:lvl w:ilvl="4" w:tplc="1C090019" w:tentative="1">
      <w:start w:val="1"/>
      <w:numFmt w:val="lowerLetter"/>
      <w:lvlText w:val="%5."/>
      <w:lvlJc w:val="left"/>
      <w:pPr>
        <w:ind w:left="5628" w:hanging="360"/>
      </w:pPr>
    </w:lvl>
    <w:lvl w:ilvl="5" w:tplc="1C09001B" w:tentative="1">
      <w:start w:val="1"/>
      <w:numFmt w:val="lowerRoman"/>
      <w:lvlText w:val="%6."/>
      <w:lvlJc w:val="right"/>
      <w:pPr>
        <w:ind w:left="6348" w:hanging="180"/>
      </w:pPr>
    </w:lvl>
    <w:lvl w:ilvl="6" w:tplc="1C09000F" w:tentative="1">
      <w:start w:val="1"/>
      <w:numFmt w:val="decimal"/>
      <w:lvlText w:val="%7."/>
      <w:lvlJc w:val="left"/>
      <w:pPr>
        <w:ind w:left="7068" w:hanging="360"/>
      </w:pPr>
    </w:lvl>
    <w:lvl w:ilvl="7" w:tplc="1C090019" w:tentative="1">
      <w:start w:val="1"/>
      <w:numFmt w:val="lowerLetter"/>
      <w:lvlText w:val="%8."/>
      <w:lvlJc w:val="left"/>
      <w:pPr>
        <w:ind w:left="7788" w:hanging="360"/>
      </w:pPr>
    </w:lvl>
    <w:lvl w:ilvl="8" w:tplc="1C09001B" w:tentative="1">
      <w:start w:val="1"/>
      <w:numFmt w:val="lowerRoman"/>
      <w:lvlText w:val="%9."/>
      <w:lvlJc w:val="right"/>
      <w:pPr>
        <w:ind w:left="8508" w:hanging="180"/>
      </w:pPr>
    </w:lvl>
  </w:abstractNum>
  <w:abstractNum w:abstractNumId="10">
    <w:nsid w:val="3F432401"/>
    <w:multiLevelType w:val="hybridMultilevel"/>
    <w:tmpl w:val="73A8555E"/>
    <w:lvl w:ilvl="0" w:tplc="23BADC2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46D80958"/>
    <w:multiLevelType w:val="hybridMultilevel"/>
    <w:tmpl w:val="32EC1790"/>
    <w:lvl w:ilvl="0" w:tplc="74FED714">
      <w:start w:val="1"/>
      <w:numFmt w:val="decimal"/>
      <w:lvlText w:val="%1."/>
      <w:lvlJc w:val="left"/>
      <w:pPr>
        <w:ind w:left="720" w:hanging="360"/>
      </w:pPr>
    </w:lvl>
    <w:lvl w:ilvl="1" w:tplc="95E025E0" w:tentative="1">
      <w:start w:val="1"/>
      <w:numFmt w:val="lowerLetter"/>
      <w:lvlText w:val="%2."/>
      <w:lvlJc w:val="left"/>
      <w:pPr>
        <w:ind w:left="1440" w:hanging="360"/>
      </w:pPr>
    </w:lvl>
    <w:lvl w:ilvl="2" w:tplc="7F88273A" w:tentative="1">
      <w:start w:val="1"/>
      <w:numFmt w:val="lowerRoman"/>
      <w:lvlText w:val="%3."/>
      <w:lvlJc w:val="right"/>
      <w:pPr>
        <w:ind w:left="2160" w:hanging="180"/>
      </w:pPr>
    </w:lvl>
    <w:lvl w:ilvl="3" w:tplc="54827BE2" w:tentative="1">
      <w:start w:val="1"/>
      <w:numFmt w:val="decimal"/>
      <w:lvlText w:val="%4."/>
      <w:lvlJc w:val="left"/>
      <w:pPr>
        <w:ind w:left="2880" w:hanging="360"/>
      </w:pPr>
    </w:lvl>
    <w:lvl w:ilvl="4" w:tplc="0DF4C9F6" w:tentative="1">
      <w:start w:val="1"/>
      <w:numFmt w:val="lowerLetter"/>
      <w:lvlText w:val="%5."/>
      <w:lvlJc w:val="left"/>
      <w:pPr>
        <w:ind w:left="3600" w:hanging="360"/>
      </w:pPr>
    </w:lvl>
    <w:lvl w:ilvl="5" w:tplc="9E56C412" w:tentative="1">
      <w:start w:val="1"/>
      <w:numFmt w:val="lowerRoman"/>
      <w:lvlText w:val="%6."/>
      <w:lvlJc w:val="right"/>
      <w:pPr>
        <w:ind w:left="4320" w:hanging="180"/>
      </w:pPr>
    </w:lvl>
    <w:lvl w:ilvl="6" w:tplc="6A469828" w:tentative="1">
      <w:start w:val="1"/>
      <w:numFmt w:val="decimal"/>
      <w:lvlText w:val="%7."/>
      <w:lvlJc w:val="left"/>
      <w:pPr>
        <w:ind w:left="5040" w:hanging="360"/>
      </w:pPr>
    </w:lvl>
    <w:lvl w:ilvl="7" w:tplc="AA4A5C8A" w:tentative="1">
      <w:start w:val="1"/>
      <w:numFmt w:val="lowerLetter"/>
      <w:lvlText w:val="%8."/>
      <w:lvlJc w:val="left"/>
      <w:pPr>
        <w:ind w:left="5760" w:hanging="360"/>
      </w:pPr>
    </w:lvl>
    <w:lvl w:ilvl="8" w:tplc="8506B7AC" w:tentative="1">
      <w:start w:val="1"/>
      <w:numFmt w:val="lowerRoman"/>
      <w:lvlText w:val="%9."/>
      <w:lvlJc w:val="right"/>
      <w:pPr>
        <w:ind w:left="6480" w:hanging="180"/>
      </w:pPr>
    </w:lvl>
  </w:abstractNum>
  <w:abstractNum w:abstractNumId="12">
    <w:nsid w:val="4EF13B33"/>
    <w:multiLevelType w:val="hybridMultilevel"/>
    <w:tmpl w:val="08FCFDD0"/>
    <w:lvl w:ilvl="0" w:tplc="1C09000F">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58F45FB7"/>
    <w:multiLevelType w:val="hybridMultilevel"/>
    <w:tmpl w:val="91E81394"/>
    <w:lvl w:ilvl="0" w:tplc="13DA134E">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6AA20C48"/>
    <w:multiLevelType w:val="multilevel"/>
    <w:tmpl w:val="06984996"/>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D3426A5"/>
    <w:multiLevelType w:val="hybridMultilevel"/>
    <w:tmpl w:val="703655B2"/>
    <w:lvl w:ilvl="0" w:tplc="3B6052E0">
      <w:start w:val="1"/>
      <w:numFmt w:val="bullet"/>
      <w:lvlText w:val="o"/>
      <w:lvlJc w:val="left"/>
      <w:pPr>
        <w:ind w:left="862" w:hanging="360"/>
      </w:pPr>
      <w:rPr>
        <w:rFonts w:ascii="Courier New" w:hAnsi="Courier New" w:cs="Courier New" w:hint="default"/>
      </w:rPr>
    </w:lvl>
    <w:lvl w:ilvl="1" w:tplc="C12C284A" w:tentative="1">
      <w:start w:val="1"/>
      <w:numFmt w:val="bullet"/>
      <w:lvlText w:val="o"/>
      <w:lvlJc w:val="left"/>
      <w:pPr>
        <w:ind w:left="1582" w:hanging="360"/>
      </w:pPr>
      <w:rPr>
        <w:rFonts w:ascii="Courier New" w:hAnsi="Courier New" w:cs="Courier New" w:hint="default"/>
      </w:rPr>
    </w:lvl>
    <w:lvl w:ilvl="2" w:tplc="FDFE9852" w:tentative="1">
      <w:start w:val="1"/>
      <w:numFmt w:val="bullet"/>
      <w:lvlText w:val=""/>
      <w:lvlJc w:val="left"/>
      <w:pPr>
        <w:ind w:left="2302" w:hanging="360"/>
      </w:pPr>
      <w:rPr>
        <w:rFonts w:ascii="Wingdings" w:hAnsi="Wingdings" w:hint="default"/>
      </w:rPr>
    </w:lvl>
    <w:lvl w:ilvl="3" w:tplc="F19E01CE" w:tentative="1">
      <w:start w:val="1"/>
      <w:numFmt w:val="bullet"/>
      <w:lvlText w:val=""/>
      <w:lvlJc w:val="left"/>
      <w:pPr>
        <w:ind w:left="3022" w:hanging="360"/>
      </w:pPr>
      <w:rPr>
        <w:rFonts w:ascii="Symbol" w:hAnsi="Symbol" w:hint="default"/>
      </w:rPr>
    </w:lvl>
    <w:lvl w:ilvl="4" w:tplc="BBF2A55C" w:tentative="1">
      <w:start w:val="1"/>
      <w:numFmt w:val="bullet"/>
      <w:lvlText w:val="o"/>
      <w:lvlJc w:val="left"/>
      <w:pPr>
        <w:ind w:left="3742" w:hanging="360"/>
      </w:pPr>
      <w:rPr>
        <w:rFonts w:ascii="Courier New" w:hAnsi="Courier New" w:cs="Courier New" w:hint="default"/>
      </w:rPr>
    </w:lvl>
    <w:lvl w:ilvl="5" w:tplc="5C0EF6B2" w:tentative="1">
      <w:start w:val="1"/>
      <w:numFmt w:val="bullet"/>
      <w:lvlText w:val=""/>
      <w:lvlJc w:val="left"/>
      <w:pPr>
        <w:ind w:left="4462" w:hanging="360"/>
      </w:pPr>
      <w:rPr>
        <w:rFonts w:ascii="Wingdings" w:hAnsi="Wingdings" w:hint="default"/>
      </w:rPr>
    </w:lvl>
    <w:lvl w:ilvl="6" w:tplc="CAD251AA" w:tentative="1">
      <w:start w:val="1"/>
      <w:numFmt w:val="bullet"/>
      <w:lvlText w:val=""/>
      <w:lvlJc w:val="left"/>
      <w:pPr>
        <w:ind w:left="5182" w:hanging="360"/>
      </w:pPr>
      <w:rPr>
        <w:rFonts w:ascii="Symbol" w:hAnsi="Symbol" w:hint="default"/>
      </w:rPr>
    </w:lvl>
    <w:lvl w:ilvl="7" w:tplc="6636BD48" w:tentative="1">
      <w:start w:val="1"/>
      <w:numFmt w:val="bullet"/>
      <w:lvlText w:val="o"/>
      <w:lvlJc w:val="left"/>
      <w:pPr>
        <w:ind w:left="5902" w:hanging="360"/>
      </w:pPr>
      <w:rPr>
        <w:rFonts w:ascii="Courier New" w:hAnsi="Courier New" w:cs="Courier New" w:hint="default"/>
      </w:rPr>
    </w:lvl>
    <w:lvl w:ilvl="8" w:tplc="299C8EA4" w:tentative="1">
      <w:start w:val="1"/>
      <w:numFmt w:val="bullet"/>
      <w:lvlText w:val=""/>
      <w:lvlJc w:val="left"/>
      <w:pPr>
        <w:ind w:left="6622" w:hanging="360"/>
      </w:pPr>
      <w:rPr>
        <w:rFonts w:ascii="Wingdings" w:hAnsi="Wingdings" w:hint="default"/>
      </w:rPr>
    </w:lvl>
  </w:abstractNum>
  <w:abstractNum w:abstractNumId="16">
    <w:nsid w:val="76D47956"/>
    <w:multiLevelType w:val="multilevel"/>
    <w:tmpl w:val="AC8CFA7C"/>
    <w:lvl w:ilvl="0">
      <w:start w:val="1"/>
      <w:numFmt w:val="decimal"/>
      <w:lvlText w:val="%1."/>
      <w:lvlJc w:val="left"/>
      <w:pPr>
        <w:ind w:left="720" w:hanging="360"/>
      </w:pPr>
      <w:rPr>
        <w:rFonts w:ascii="Century Schoolbook" w:hAnsi="Century Schoolbook" w:hint="default"/>
        <w:b w:val="0"/>
        <w:i w:val="0"/>
        <w:color w:val="000000" w:themeColor="text1"/>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9477725"/>
    <w:multiLevelType w:val="hybridMultilevel"/>
    <w:tmpl w:val="FA287C38"/>
    <w:lvl w:ilvl="0" w:tplc="0A3A9ED6">
      <w:start w:val="1"/>
      <w:numFmt w:val="lowerLetter"/>
      <w:lvlText w:val="(%1)"/>
      <w:lvlJc w:val="left"/>
      <w:pPr>
        <w:ind w:left="1074" w:hanging="360"/>
      </w:pPr>
      <w:rPr>
        <w:rFonts w:hint="default"/>
      </w:rPr>
    </w:lvl>
    <w:lvl w:ilvl="1" w:tplc="FC7A6354" w:tentative="1">
      <w:start w:val="1"/>
      <w:numFmt w:val="lowerLetter"/>
      <w:lvlText w:val="%2."/>
      <w:lvlJc w:val="left"/>
      <w:pPr>
        <w:ind w:left="1794" w:hanging="360"/>
      </w:pPr>
    </w:lvl>
    <w:lvl w:ilvl="2" w:tplc="F142F488" w:tentative="1">
      <w:start w:val="1"/>
      <w:numFmt w:val="lowerRoman"/>
      <w:lvlText w:val="%3."/>
      <w:lvlJc w:val="right"/>
      <w:pPr>
        <w:ind w:left="2514" w:hanging="180"/>
      </w:pPr>
    </w:lvl>
    <w:lvl w:ilvl="3" w:tplc="A3848BC8" w:tentative="1">
      <w:start w:val="1"/>
      <w:numFmt w:val="decimal"/>
      <w:lvlText w:val="%4."/>
      <w:lvlJc w:val="left"/>
      <w:pPr>
        <w:ind w:left="3234" w:hanging="360"/>
      </w:pPr>
    </w:lvl>
    <w:lvl w:ilvl="4" w:tplc="F96EA49A" w:tentative="1">
      <w:start w:val="1"/>
      <w:numFmt w:val="lowerLetter"/>
      <w:lvlText w:val="%5."/>
      <w:lvlJc w:val="left"/>
      <w:pPr>
        <w:ind w:left="3954" w:hanging="360"/>
      </w:pPr>
    </w:lvl>
    <w:lvl w:ilvl="5" w:tplc="4B381D9C" w:tentative="1">
      <w:start w:val="1"/>
      <w:numFmt w:val="lowerRoman"/>
      <w:lvlText w:val="%6."/>
      <w:lvlJc w:val="right"/>
      <w:pPr>
        <w:ind w:left="4674" w:hanging="180"/>
      </w:pPr>
    </w:lvl>
    <w:lvl w:ilvl="6" w:tplc="348E983E" w:tentative="1">
      <w:start w:val="1"/>
      <w:numFmt w:val="decimal"/>
      <w:lvlText w:val="%7."/>
      <w:lvlJc w:val="left"/>
      <w:pPr>
        <w:ind w:left="5394" w:hanging="360"/>
      </w:pPr>
    </w:lvl>
    <w:lvl w:ilvl="7" w:tplc="179AC98E" w:tentative="1">
      <w:start w:val="1"/>
      <w:numFmt w:val="lowerLetter"/>
      <w:lvlText w:val="%8."/>
      <w:lvlJc w:val="left"/>
      <w:pPr>
        <w:ind w:left="6114" w:hanging="360"/>
      </w:pPr>
    </w:lvl>
    <w:lvl w:ilvl="8" w:tplc="FEB0587C" w:tentative="1">
      <w:start w:val="1"/>
      <w:numFmt w:val="lowerRoman"/>
      <w:lvlText w:val="%9."/>
      <w:lvlJc w:val="right"/>
      <w:pPr>
        <w:ind w:left="6834" w:hanging="180"/>
      </w:pPr>
    </w:lvl>
  </w:abstractNum>
  <w:abstractNum w:abstractNumId="18">
    <w:nsid w:val="7FC341D0"/>
    <w:multiLevelType w:val="hybridMultilevel"/>
    <w:tmpl w:val="D80E529C"/>
    <w:lvl w:ilvl="0" w:tplc="345C3AD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4"/>
  </w:num>
  <w:num w:numId="2">
    <w:abstractNumId w:val="16"/>
  </w:num>
  <w:num w:numId="3">
    <w:abstractNumId w:val="11"/>
  </w:num>
  <w:num w:numId="4">
    <w:abstractNumId w:val="15"/>
  </w:num>
  <w:num w:numId="5">
    <w:abstractNumId w:val="9"/>
  </w:num>
  <w:num w:numId="6">
    <w:abstractNumId w:val="10"/>
  </w:num>
  <w:num w:numId="7">
    <w:abstractNumId w:val="3"/>
  </w:num>
  <w:num w:numId="8">
    <w:abstractNumId w:val="5"/>
  </w:num>
  <w:num w:numId="9">
    <w:abstractNumId w:val="4"/>
  </w:num>
  <w:num w:numId="10">
    <w:abstractNumId w:val="8"/>
  </w:num>
  <w:num w:numId="11">
    <w:abstractNumId w:val="6"/>
  </w:num>
  <w:num w:numId="12">
    <w:abstractNumId w:val="18"/>
  </w:num>
  <w:num w:numId="13">
    <w:abstractNumId w:val="7"/>
  </w:num>
  <w:num w:numId="14">
    <w:abstractNumId w:val="13"/>
  </w:num>
  <w:num w:numId="15">
    <w:abstractNumId w:val="12"/>
  </w:num>
  <w:num w:numId="16">
    <w:abstractNumId w:val="17"/>
  </w:num>
  <w:num w:numId="17">
    <w:abstractNumId w:val="2"/>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jE3tTC0MAaSZgaGhko6SsGpxcWZ+XkgBYa1AMWolHcsAAAA"/>
  </w:docVars>
  <w:rsids>
    <w:rsidRoot w:val="00CD54F1"/>
    <w:rsid w:val="00000007"/>
    <w:rsid w:val="000009FC"/>
    <w:rsid w:val="00003177"/>
    <w:rsid w:val="00003C96"/>
    <w:rsid w:val="000102F7"/>
    <w:rsid w:val="00010A15"/>
    <w:rsid w:val="00011113"/>
    <w:rsid w:val="000119FA"/>
    <w:rsid w:val="00015745"/>
    <w:rsid w:val="000160C5"/>
    <w:rsid w:val="00020670"/>
    <w:rsid w:val="00021FA1"/>
    <w:rsid w:val="0002575A"/>
    <w:rsid w:val="000263F6"/>
    <w:rsid w:val="00026468"/>
    <w:rsid w:val="00027C37"/>
    <w:rsid w:val="00030692"/>
    <w:rsid w:val="0003069A"/>
    <w:rsid w:val="0003516D"/>
    <w:rsid w:val="000359A9"/>
    <w:rsid w:val="00037F92"/>
    <w:rsid w:val="000405D4"/>
    <w:rsid w:val="00041766"/>
    <w:rsid w:val="000459DC"/>
    <w:rsid w:val="00045B0F"/>
    <w:rsid w:val="00046877"/>
    <w:rsid w:val="00052342"/>
    <w:rsid w:val="00054589"/>
    <w:rsid w:val="00054AE9"/>
    <w:rsid w:val="000618D0"/>
    <w:rsid w:val="0006300E"/>
    <w:rsid w:val="00065416"/>
    <w:rsid w:val="00065C58"/>
    <w:rsid w:val="00066AA1"/>
    <w:rsid w:val="00066C07"/>
    <w:rsid w:val="00067105"/>
    <w:rsid w:val="000674FA"/>
    <w:rsid w:val="00070663"/>
    <w:rsid w:val="00070761"/>
    <w:rsid w:val="00072C4A"/>
    <w:rsid w:val="00077D96"/>
    <w:rsid w:val="00080926"/>
    <w:rsid w:val="00082877"/>
    <w:rsid w:val="000828E8"/>
    <w:rsid w:val="00082B60"/>
    <w:rsid w:val="00085491"/>
    <w:rsid w:val="000856A9"/>
    <w:rsid w:val="00085EE6"/>
    <w:rsid w:val="00086A6A"/>
    <w:rsid w:val="00087236"/>
    <w:rsid w:val="00087C30"/>
    <w:rsid w:val="00090CF2"/>
    <w:rsid w:val="00090CF9"/>
    <w:rsid w:val="00092EAF"/>
    <w:rsid w:val="000956C3"/>
    <w:rsid w:val="000957BF"/>
    <w:rsid w:val="000970F6"/>
    <w:rsid w:val="000A2AC4"/>
    <w:rsid w:val="000A399D"/>
    <w:rsid w:val="000A65B1"/>
    <w:rsid w:val="000A7CA0"/>
    <w:rsid w:val="000B005A"/>
    <w:rsid w:val="000B2EC9"/>
    <w:rsid w:val="000B7605"/>
    <w:rsid w:val="000C2632"/>
    <w:rsid w:val="000C4443"/>
    <w:rsid w:val="000C5A9A"/>
    <w:rsid w:val="000C5F7A"/>
    <w:rsid w:val="000C69CD"/>
    <w:rsid w:val="000D0923"/>
    <w:rsid w:val="000D0EA0"/>
    <w:rsid w:val="000D13AC"/>
    <w:rsid w:val="000D38BE"/>
    <w:rsid w:val="000D4641"/>
    <w:rsid w:val="000D464A"/>
    <w:rsid w:val="000D4696"/>
    <w:rsid w:val="000D5909"/>
    <w:rsid w:val="000D7DE1"/>
    <w:rsid w:val="000E04B5"/>
    <w:rsid w:val="000E08D7"/>
    <w:rsid w:val="000E20E6"/>
    <w:rsid w:val="000E5C38"/>
    <w:rsid w:val="000F05CB"/>
    <w:rsid w:val="000F3507"/>
    <w:rsid w:val="000F51BE"/>
    <w:rsid w:val="000F6D75"/>
    <w:rsid w:val="000F7E4D"/>
    <w:rsid w:val="00106A77"/>
    <w:rsid w:val="00106CF0"/>
    <w:rsid w:val="00117914"/>
    <w:rsid w:val="001204C4"/>
    <w:rsid w:val="00122737"/>
    <w:rsid w:val="00130F3E"/>
    <w:rsid w:val="001318CF"/>
    <w:rsid w:val="00132A91"/>
    <w:rsid w:val="001353E6"/>
    <w:rsid w:val="00135627"/>
    <w:rsid w:val="00137C9A"/>
    <w:rsid w:val="00140892"/>
    <w:rsid w:val="00140FD9"/>
    <w:rsid w:val="00143C32"/>
    <w:rsid w:val="00145220"/>
    <w:rsid w:val="001466A1"/>
    <w:rsid w:val="00146D99"/>
    <w:rsid w:val="00147BF4"/>
    <w:rsid w:val="00153426"/>
    <w:rsid w:val="00157272"/>
    <w:rsid w:val="00157334"/>
    <w:rsid w:val="001573B6"/>
    <w:rsid w:val="0016169A"/>
    <w:rsid w:val="001624DB"/>
    <w:rsid w:val="00163322"/>
    <w:rsid w:val="001671BE"/>
    <w:rsid w:val="001678BC"/>
    <w:rsid w:val="001725B3"/>
    <w:rsid w:val="00175E11"/>
    <w:rsid w:val="00176180"/>
    <w:rsid w:val="001765EB"/>
    <w:rsid w:val="001807F8"/>
    <w:rsid w:val="00182CDF"/>
    <w:rsid w:val="0018617F"/>
    <w:rsid w:val="0018624C"/>
    <w:rsid w:val="001904F0"/>
    <w:rsid w:val="00193091"/>
    <w:rsid w:val="001934C8"/>
    <w:rsid w:val="00193B50"/>
    <w:rsid w:val="0019628D"/>
    <w:rsid w:val="001A0403"/>
    <w:rsid w:val="001A2293"/>
    <w:rsid w:val="001A33C8"/>
    <w:rsid w:val="001A4050"/>
    <w:rsid w:val="001A47BE"/>
    <w:rsid w:val="001A6FFA"/>
    <w:rsid w:val="001B08D3"/>
    <w:rsid w:val="001B186A"/>
    <w:rsid w:val="001B2BD9"/>
    <w:rsid w:val="001C2EE6"/>
    <w:rsid w:val="001C43EA"/>
    <w:rsid w:val="001C447E"/>
    <w:rsid w:val="001C5DBF"/>
    <w:rsid w:val="001C5E64"/>
    <w:rsid w:val="001C651D"/>
    <w:rsid w:val="001C6B1F"/>
    <w:rsid w:val="001C6D3F"/>
    <w:rsid w:val="001C6D55"/>
    <w:rsid w:val="001C766A"/>
    <w:rsid w:val="001C7918"/>
    <w:rsid w:val="001D2998"/>
    <w:rsid w:val="001D3056"/>
    <w:rsid w:val="001D43EA"/>
    <w:rsid w:val="001D59B0"/>
    <w:rsid w:val="001D6195"/>
    <w:rsid w:val="001D7103"/>
    <w:rsid w:val="001D7F40"/>
    <w:rsid w:val="001E0123"/>
    <w:rsid w:val="001E0AB0"/>
    <w:rsid w:val="001E0E27"/>
    <w:rsid w:val="001F19DC"/>
    <w:rsid w:val="001F2171"/>
    <w:rsid w:val="001F2201"/>
    <w:rsid w:val="001F2835"/>
    <w:rsid w:val="001F4C32"/>
    <w:rsid w:val="001F5491"/>
    <w:rsid w:val="001F5C16"/>
    <w:rsid w:val="001F7253"/>
    <w:rsid w:val="001F7F8E"/>
    <w:rsid w:val="002003EE"/>
    <w:rsid w:val="002016C4"/>
    <w:rsid w:val="00201982"/>
    <w:rsid w:val="00202F2A"/>
    <w:rsid w:val="0020309E"/>
    <w:rsid w:val="00203E09"/>
    <w:rsid w:val="00204063"/>
    <w:rsid w:val="00204BB6"/>
    <w:rsid w:val="00205972"/>
    <w:rsid w:val="00206557"/>
    <w:rsid w:val="002065E5"/>
    <w:rsid w:val="00207AB7"/>
    <w:rsid w:val="00210BE4"/>
    <w:rsid w:val="00212D88"/>
    <w:rsid w:val="00212DDE"/>
    <w:rsid w:val="00214859"/>
    <w:rsid w:val="00216467"/>
    <w:rsid w:val="002169A5"/>
    <w:rsid w:val="00217776"/>
    <w:rsid w:val="0022016A"/>
    <w:rsid w:val="002207E8"/>
    <w:rsid w:val="00221069"/>
    <w:rsid w:val="00222A93"/>
    <w:rsid w:val="00222EE9"/>
    <w:rsid w:val="00223780"/>
    <w:rsid w:val="0022536E"/>
    <w:rsid w:val="00225A3D"/>
    <w:rsid w:val="002262A3"/>
    <w:rsid w:val="0022708C"/>
    <w:rsid w:val="00231477"/>
    <w:rsid w:val="00231AF2"/>
    <w:rsid w:val="00231D82"/>
    <w:rsid w:val="00231E93"/>
    <w:rsid w:val="0023322D"/>
    <w:rsid w:val="00237D86"/>
    <w:rsid w:val="00240D4C"/>
    <w:rsid w:val="00241848"/>
    <w:rsid w:val="00243D4B"/>
    <w:rsid w:val="00251739"/>
    <w:rsid w:val="0025189C"/>
    <w:rsid w:val="00252323"/>
    <w:rsid w:val="00253B69"/>
    <w:rsid w:val="002550CF"/>
    <w:rsid w:val="00255CF7"/>
    <w:rsid w:val="00262095"/>
    <w:rsid w:val="0026307C"/>
    <w:rsid w:val="00264389"/>
    <w:rsid w:val="00264558"/>
    <w:rsid w:val="002655A1"/>
    <w:rsid w:val="00265D55"/>
    <w:rsid w:val="00267D60"/>
    <w:rsid w:val="00271945"/>
    <w:rsid w:val="0027302B"/>
    <w:rsid w:val="00274CA6"/>
    <w:rsid w:val="00274EE6"/>
    <w:rsid w:val="00274F36"/>
    <w:rsid w:val="00275C77"/>
    <w:rsid w:val="00276140"/>
    <w:rsid w:val="002772FD"/>
    <w:rsid w:val="002812EE"/>
    <w:rsid w:val="00281B43"/>
    <w:rsid w:val="00281D7D"/>
    <w:rsid w:val="002836AE"/>
    <w:rsid w:val="00283A02"/>
    <w:rsid w:val="00284921"/>
    <w:rsid w:val="00284EF9"/>
    <w:rsid w:val="0028734F"/>
    <w:rsid w:val="00287867"/>
    <w:rsid w:val="00287C59"/>
    <w:rsid w:val="002909C0"/>
    <w:rsid w:val="00290AA0"/>
    <w:rsid w:val="0029180C"/>
    <w:rsid w:val="0029213B"/>
    <w:rsid w:val="0029244E"/>
    <w:rsid w:val="00292E7C"/>
    <w:rsid w:val="002933F1"/>
    <w:rsid w:val="00293DEF"/>
    <w:rsid w:val="002944B6"/>
    <w:rsid w:val="0029630D"/>
    <w:rsid w:val="002969E8"/>
    <w:rsid w:val="002A0259"/>
    <w:rsid w:val="002A1441"/>
    <w:rsid w:val="002A175D"/>
    <w:rsid w:val="002A198D"/>
    <w:rsid w:val="002A54AE"/>
    <w:rsid w:val="002A600A"/>
    <w:rsid w:val="002B22C8"/>
    <w:rsid w:val="002B38C8"/>
    <w:rsid w:val="002B4473"/>
    <w:rsid w:val="002B45DF"/>
    <w:rsid w:val="002B5608"/>
    <w:rsid w:val="002B5B54"/>
    <w:rsid w:val="002B617B"/>
    <w:rsid w:val="002B72AD"/>
    <w:rsid w:val="002B7C7D"/>
    <w:rsid w:val="002C1168"/>
    <w:rsid w:val="002C334F"/>
    <w:rsid w:val="002C47E7"/>
    <w:rsid w:val="002C5288"/>
    <w:rsid w:val="002C629B"/>
    <w:rsid w:val="002C7B61"/>
    <w:rsid w:val="002E2042"/>
    <w:rsid w:val="002E233A"/>
    <w:rsid w:val="002E2FB2"/>
    <w:rsid w:val="002E3015"/>
    <w:rsid w:val="002E3808"/>
    <w:rsid w:val="002E3D15"/>
    <w:rsid w:val="002E3F2E"/>
    <w:rsid w:val="002E3F9F"/>
    <w:rsid w:val="002E4EEB"/>
    <w:rsid w:val="002E7F85"/>
    <w:rsid w:val="002F1C10"/>
    <w:rsid w:val="002F2889"/>
    <w:rsid w:val="002F4D81"/>
    <w:rsid w:val="002F72E5"/>
    <w:rsid w:val="002F79CB"/>
    <w:rsid w:val="003000D4"/>
    <w:rsid w:val="00302204"/>
    <w:rsid w:val="00302CB0"/>
    <w:rsid w:val="00302F3F"/>
    <w:rsid w:val="0030365E"/>
    <w:rsid w:val="00303862"/>
    <w:rsid w:val="00305203"/>
    <w:rsid w:val="00305C25"/>
    <w:rsid w:val="003068B0"/>
    <w:rsid w:val="00310062"/>
    <w:rsid w:val="00311F8B"/>
    <w:rsid w:val="0031303C"/>
    <w:rsid w:val="003139EA"/>
    <w:rsid w:val="00314DA0"/>
    <w:rsid w:val="003173B1"/>
    <w:rsid w:val="003210F6"/>
    <w:rsid w:val="00321208"/>
    <w:rsid w:val="00321BB7"/>
    <w:rsid w:val="003229E6"/>
    <w:rsid w:val="00322ED6"/>
    <w:rsid w:val="003234CA"/>
    <w:rsid w:val="00323BDE"/>
    <w:rsid w:val="00323D2C"/>
    <w:rsid w:val="003240F0"/>
    <w:rsid w:val="00324379"/>
    <w:rsid w:val="003260C5"/>
    <w:rsid w:val="00327012"/>
    <w:rsid w:val="00327B1F"/>
    <w:rsid w:val="00327B44"/>
    <w:rsid w:val="00327BE5"/>
    <w:rsid w:val="0033022D"/>
    <w:rsid w:val="003311E2"/>
    <w:rsid w:val="00332111"/>
    <w:rsid w:val="00333AB2"/>
    <w:rsid w:val="0033508F"/>
    <w:rsid w:val="00335731"/>
    <w:rsid w:val="00335D9A"/>
    <w:rsid w:val="003361C5"/>
    <w:rsid w:val="00336A52"/>
    <w:rsid w:val="00337783"/>
    <w:rsid w:val="00341AC4"/>
    <w:rsid w:val="00343A7E"/>
    <w:rsid w:val="00344014"/>
    <w:rsid w:val="00344AFC"/>
    <w:rsid w:val="00347010"/>
    <w:rsid w:val="00350039"/>
    <w:rsid w:val="003503E9"/>
    <w:rsid w:val="00351BE4"/>
    <w:rsid w:val="00351D61"/>
    <w:rsid w:val="00352E35"/>
    <w:rsid w:val="00353693"/>
    <w:rsid w:val="00353D13"/>
    <w:rsid w:val="00355CB1"/>
    <w:rsid w:val="003601C1"/>
    <w:rsid w:val="0036047C"/>
    <w:rsid w:val="0036099A"/>
    <w:rsid w:val="0036258D"/>
    <w:rsid w:val="00362D4A"/>
    <w:rsid w:val="00363891"/>
    <w:rsid w:val="00364C93"/>
    <w:rsid w:val="003651DE"/>
    <w:rsid w:val="003652BB"/>
    <w:rsid w:val="0037033B"/>
    <w:rsid w:val="00370A75"/>
    <w:rsid w:val="00370D52"/>
    <w:rsid w:val="00370ECF"/>
    <w:rsid w:val="00370FCD"/>
    <w:rsid w:val="00371644"/>
    <w:rsid w:val="00373C3A"/>
    <w:rsid w:val="00374608"/>
    <w:rsid w:val="00374A03"/>
    <w:rsid w:val="0037747C"/>
    <w:rsid w:val="003849C4"/>
    <w:rsid w:val="00384D3A"/>
    <w:rsid w:val="0038560D"/>
    <w:rsid w:val="00385E4A"/>
    <w:rsid w:val="00386C1A"/>
    <w:rsid w:val="003873E6"/>
    <w:rsid w:val="00390014"/>
    <w:rsid w:val="00391086"/>
    <w:rsid w:val="00391EC1"/>
    <w:rsid w:val="00394B7B"/>
    <w:rsid w:val="00394E06"/>
    <w:rsid w:val="00395B00"/>
    <w:rsid w:val="003A220E"/>
    <w:rsid w:val="003A6534"/>
    <w:rsid w:val="003A68F8"/>
    <w:rsid w:val="003A739E"/>
    <w:rsid w:val="003B1639"/>
    <w:rsid w:val="003B24AF"/>
    <w:rsid w:val="003B6303"/>
    <w:rsid w:val="003B7D20"/>
    <w:rsid w:val="003C0641"/>
    <w:rsid w:val="003C0D76"/>
    <w:rsid w:val="003C1766"/>
    <w:rsid w:val="003C1F83"/>
    <w:rsid w:val="003C214D"/>
    <w:rsid w:val="003C3115"/>
    <w:rsid w:val="003C58D9"/>
    <w:rsid w:val="003C5D62"/>
    <w:rsid w:val="003C636F"/>
    <w:rsid w:val="003C6F90"/>
    <w:rsid w:val="003C70FA"/>
    <w:rsid w:val="003C78C5"/>
    <w:rsid w:val="003D0952"/>
    <w:rsid w:val="003D4B3B"/>
    <w:rsid w:val="003D5258"/>
    <w:rsid w:val="003D5EE5"/>
    <w:rsid w:val="003D6015"/>
    <w:rsid w:val="003D6C09"/>
    <w:rsid w:val="003E06FE"/>
    <w:rsid w:val="003E0FB7"/>
    <w:rsid w:val="003E1D41"/>
    <w:rsid w:val="003E3203"/>
    <w:rsid w:val="003E3B44"/>
    <w:rsid w:val="003E489E"/>
    <w:rsid w:val="003E54B7"/>
    <w:rsid w:val="003E6023"/>
    <w:rsid w:val="003F20D4"/>
    <w:rsid w:val="003F4356"/>
    <w:rsid w:val="003F539A"/>
    <w:rsid w:val="003F7BAD"/>
    <w:rsid w:val="00400D8E"/>
    <w:rsid w:val="00402AB1"/>
    <w:rsid w:val="00403254"/>
    <w:rsid w:val="0040385A"/>
    <w:rsid w:val="004038B9"/>
    <w:rsid w:val="0040430C"/>
    <w:rsid w:val="00404371"/>
    <w:rsid w:val="00406309"/>
    <w:rsid w:val="004103A3"/>
    <w:rsid w:val="00411FA7"/>
    <w:rsid w:val="004121E1"/>
    <w:rsid w:val="00413970"/>
    <w:rsid w:val="0041647A"/>
    <w:rsid w:val="004169EC"/>
    <w:rsid w:val="00421E22"/>
    <w:rsid w:val="00422077"/>
    <w:rsid w:val="004235C7"/>
    <w:rsid w:val="00423A7A"/>
    <w:rsid w:val="004248E6"/>
    <w:rsid w:val="00425D5C"/>
    <w:rsid w:val="004273ED"/>
    <w:rsid w:val="004279A7"/>
    <w:rsid w:val="0043023E"/>
    <w:rsid w:val="00431696"/>
    <w:rsid w:val="0043305D"/>
    <w:rsid w:val="00436127"/>
    <w:rsid w:val="00437D8E"/>
    <w:rsid w:val="00441CA5"/>
    <w:rsid w:val="00442C2B"/>
    <w:rsid w:val="0044418C"/>
    <w:rsid w:val="00445F07"/>
    <w:rsid w:val="00450157"/>
    <w:rsid w:val="00450B05"/>
    <w:rsid w:val="00450EDB"/>
    <w:rsid w:val="004530A4"/>
    <w:rsid w:val="004536D6"/>
    <w:rsid w:val="0045371C"/>
    <w:rsid w:val="00455369"/>
    <w:rsid w:val="00455895"/>
    <w:rsid w:val="00456D05"/>
    <w:rsid w:val="00457FB1"/>
    <w:rsid w:val="00460A95"/>
    <w:rsid w:val="004626C7"/>
    <w:rsid w:val="00462E47"/>
    <w:rsid w:val="0046452E"/>
    <w:rsid w:val="004665FC"/>
    <w:rsid w:val="004712D0"/>
    <w:rsid w:val="00475B6A"/>
    <w:rsid w:val="00477D07"/>
    <w:rsid w:val="00482025"/>
    <w:rsid w:val="004843ED"/>
    <w:rsid w:val="00484B14"/>
    <w:rsid w:val="00486183"/>
    <w:rsid w:val="00486EDF"/>
    <w:rsid w:val="00487AEA"/>
    <w:rsid w:val="00490499"/>
    <w:rsid w:val="0049099E"/>
    <w:rsid w:val="00490B1C"/>
    <w:rsid w:val="00494DEA"/>
    <w:rsid w:val="004A06A7"/>
    <w:rsid w:val="004A17C2"/>
    <w:rsid w:val="004A1C39"/>
    <w:rsid w:val="004A1ED6"/>
    <w:rsid w:val="004A1FFC"/>
    <w:rsid w:val="004A321C"/>
    <w:rsid w:val="004A582A"/>
    <w:rsid w:val="004A6142"/>
    <w:rsid w:val="004A65C6"/>
    <w:rsid w:val="004A6E75"/>
    <w:rsid w:val="004B110B"/>
    <w:rsid w:val="004B2AD9"/>
    <w:rsid w:val="004B3E9B"/>
    <w:rsid w:val="004B4335"/>
    <w:rsid w:val="004B4D52"/>
    <w:rsid w:val="004B5C6B"/>
    <w:rsid w:val="004C04B4"/>
    <w:rsid w:val="004C0835"/>
    <w:rsid w:val="004C0B2E"/>
    <w:rsid w:val="004C1711"/>
    <w:rsid w:val="004C3052"/>
    <w:rsid w:val="004C3543"/>
    <w:rsid w:val="004C6390"/>
    <w:rsid w:val="004C65B1"/>
    <w:rsid w:val="004D111A"/>
    <w:rsid w:val="004D1327"/>
    <w:rsid w:val="004D2148"/>
    <w:rsid w:val="004D256B"/>
    <w:rsid w:val="004D354E"/>
    <w:rsid w:val="004D4FA8"/>
    <w:rsid w:val="004D5526"/>
    <w:rsid w:val="004D5853"/>
    <w:rsid w:val="004D605A"/>
    <w:rsid w:val="004D6EB8"/>
    <w:rsid w:val="004E02F3"/>
    <w:rsid w:val="004E311F"/>
    <w:rsid w:val="004E32C3"/>
    <w:rsid w:val="004E537B"/>
    <w:rsid w:val="004E63D8"/>
    <w:rsid w:val="004E6581"/>
    <w:rsid w:val="004E6A77"/>
    <w:rsid w:val="004F2747"/>
    <w:rsid w:val="004F5792"/>
    <w:rsid w:val="004F5E09"/>
    <w:rsid w:val="004F7DCA"/>
    <w:rsid w:val="00506FE4"/>
    <w:rsid w:val="00510CA2"/>
    <w:rsid w:val="005115CA"/>
    <w:rsid w:val="00517825"/>
    <w:rsid w:val="005208BA"/>
    <w:rsid w:val="00523FAC"/>
    <w:rsid w:val="005240DD"/>
    <w:rsid w:val="00524474"/>
    <w:rsid w:val="005250AA"/>
    <w:rsid w:val="00525193"/>
    <w:rsid w:val="005345AC"/>
    <w:rsid w:val="00535740"/>
    <w:rsid w:val="00535BB9"/>
    <w:rsid w:val="0053705D"/>
    <w:rsid w:val="00541D0E"/>
    <w:rsid w:val="005426E4"/>
    <w:rsid w:val="00543166"/>
    <w:rsid w:val="005447CB"/>
    <w:rsid w:val="00550733"/>
    <w:rsid w:val="005512C0"/>
    <w:rsid w:val="00552198"/>
    <w:rsid w:val="00552245"/>
    <w:rsid w:val="0055337F"/>
    <w:rsid w:val="00554752"/>
    <w:rsid w:val="00554807"/>
    <w:rsid w:val="00555445"/>
    <w:rsid w:val="00555AE3"/>
    <w:rsid w:val="005564CE"/>
    <w:rsid w:val="00556BA1"/>
    <w:rsid w:val="00557B86"/>
    <w:rsid w:val="00560F29"/>
    <w:rsid w:val="005618B0"/>
    <w:rsid w:val="00561ED3"/>
    <w:rsid w:val="005622A9"/>
    <w:rsid w:val="00563092"/>
    <w:rsid w:val="00563256"/>
    <w:rsid w:val="00564CE4"/>
    <w:rsid w:val="00564DC5"/>
    <w:rsid w:val="00566781"/>
    <w:rsid w:val="00567CA2"/>
    <w:rsid w:val="00567EB7"/>
    <w:rsid w:val="00570003"/>
    <w:rsid w:val="00572E82"/>
    <w:rsid w:val="00576CE0"/>
    <w:rsid w:val="00577535"/>
    <w:rsid w:val="00577934"/>
    <w:rsid w:val="00577DFF"/>
    <w:rsid w:val="00581466"/>
    <w:rsid w:val="005815E5"/>
    <w:rsid w:val="00582915"/>
    <w:rsid w:val="005836E0"/>
    <w:rsid w:val="00587D29"/>
    <w:rsid w:val="005918C6"/>
    <w:rsid w:val="005A173B"/>
    <w:rsid w:val="005A1AA6"/>
    <w:rsid w:val="005A203D"/>
    <w:rsid w:val="005A31DA"/>
    <w:rsid w:val="005A5AF1"/>
    <w:rsid w:val="005A6643"/>
    <w:rsid w:val="005A6AF9"/>
    <w:rsid w:val="005B1548"/>
    <w:rsid w:val="005B5EE0"/>
    <w:rsid w:val="005B7B5D"/>
    <w:rsid w:val="005C66AA"/>
    <w:rsid w:val="005C698B"/>
    <w:rsid w:val="005C6F09"/>
    <w:rsid w:val="005D0BA0"/>
    <w:rsid w:val="005D17C6"/>
    <w:rsid w:val="005D4555"/>
    <w:rsid w:val="005D4C93"/>
    <w:rsid w:val="005D52FB"/>
    <w:rsid w:val="005D750C"/>
    <w:rsid w:val="005E0B37"/>
    <w:rsid w:val="005E6D17"/>
    <w:rsid w:val="005E705B"/>
    <w:rsid w:val="005F2FB4"/>
    <w:rsid w:val="005F3C82"/>
    <w:rsid w:val="005F3F8F"/>
    <w:rsid w:val="005F4715"/>
    <w:rsid w:val="005F4D71"/>
    <w:rsid w:val="005F4E58"/>
    <w:rsid w:val="005F5220"/>
    <w:rsid w:val="005F7BF7"/>
    <w:rsid w:val="006004D6"/>
    <w:rsid w:val="006025DC"/>
    <w:rsid w:val="00602721"/>
    <w:rsid w:val="00606D9F"/>
    <w:rsid w:val="0060789C"/>
    <w:rsid w:val="00607CDB"/>
    <w:rsid w:val="006102F8"/>
    <w:rsid w:val="006110A7"/>
    <w:rsid w:val="00614D61"/>
    <w:rsid w:val="00615BF2"/>
    <w:rsid w:val="00616B9E"/>
    <w:rsid w:val="00621C05"/>
    <w:rsid w:val="00623D09"/>
    <w:rsid w:val="00627836"/>
    <w:rsid w:val="00627977"/>
    <w:rsid w:val="006313E7"/>
    <w:rsid w:val="00632F65"/>
    <w:rsid w:val="00636EE3"/>
    <w:rsid w:val="006406BB"/>
    <w:rsid w:val="00641738"/>
    <w:rsid w:val="0064279C"/>
    <w:rsid w:val="0064348F"/>
    <w:rsid w:val="006439C4"/>
    <w:rsid w:val="0064430E"/>
    <w:rsid w:val="00645596"/>
    <w:rsid w:val="00646F33"/>
    <w:rsid w:val="0065160C"/>
    <w:rsid w:val="00652957"/>
    <w:rsid w:val="00653A1B"/>
    <w:rsid w:val="00654906"/>
    <w:rsid w:val="00654A9F"/>
    <w:rsid w:val="00665B81"/>
    <w:rsid w:val="00665BA7"/>
    <w:rsid w:val="00667086"/>
    <w:rsid w:val="00672157"/>
    <w:rsid w:val="006724DB"/>
    <w:rsid w:val="00673642"/>
    <w:rsid w:val="006743F9"/>
    <w:rsid w:val="006751DA"/>
    <w:rsid w:val="00677C3B"/>
    <w:rsid w:val="00680445"/>
    <w:rsid w:val="00682AD3"/>
    <w:rsid w:val="00683EA0"/>
    <w:rsid w:val="00684267"/>
    <w:rsid w:val="00684D37"/>
    <w:rsid w:val="00686299"/>
    <w:rsid w:val="00686E7F"/>
    <w:rsid w:val="006908B1"/>
    <w:rsid w:val="00690BDD"/>
    <w:rsid w:val="00691EDD"/>
    <w:rsid w:val="00693633"/>
    <w:rsid w:val="006947B7"/>
    <w:rsid w:val="00694859"/>
    <w:rsid w:val="00695CCA"/>
    <w:rsid w:val="006960E3"/>
    <w:rsid w:val="00697571"/>
    <w:rsid w:val="00697E28"/>
    <w:rsid w:val="006A3736"/>
    <w:rsid w:val="006A38C5"/>
    <w:rsid w:val="006A4692"/>
    <w:rsid w:val="006A6C3E"/>
    <w:rsid w:val="006A6E2E"/>
    <w:rsid w:val="006A72BF"/>
    <w:rsid w:val="006A7381"/>
    <w:rsid w:val="006A74F1"/>
    <w:rsid w:val="006B03ED"/>
    <w:rsid w:val="006B1E2A"/>
    <w:rsid w:val="006B2E2E"/>
    <w:rsid w:val="006B318C"/>
    <w:rsid w:val="006B69BB"/>
    <w:rsid w:val="006B79B6"/>
    <w:rsid w:val="006C16E5"/>
    <w:rsid w:val="006C1ED4"/>
    <w:rsid w:val="006C1F40"/>
    <w:rsid w:val="006C2692"/>
    <w:rsid w:val="006C2EBB"/>
    <w:rsid w:val="006C4360"/>
    <w:rsid w:val="006C6879"/>
    <w:rsid w:val="006D1928"/>
    <w:rsid w:val="006D2F47"/>
    <w:rsid w:val="006D44BE"/>
    <w:rsid w:val="006D4AE8"/>
    <w:rsid w:val="006D592B"/>
    <w:rsid w:val="006D592D"/>
    <w:rsid w:val="006D6C49"/>
    <w:rsid w:val="006E1275"/>
    <w:rsid w:val="006E1FB4"/>
    <w:rsid w:val="006E282F"/>
    <w:rsid w:val="006E35B5"/>
    <w:rsid w:val="006E4B55"/>
    <w:rsid w:val="006F1FA1"/>
    <w:rsid w:val="006F2427"/>
    <w:rsid w:val="006F2560"/>
    <w:rsid w:val="006F2737"/>
    <w:rsid w:val="006F28C1"/>
    <w:rsid w:val="006F34E4"/>
    <w:rsid w:val="006F37DA"/>
    <w:rsid w:val="006F6341"/>
    <w:rsid w:val="00700812"/>
    <w:rsid w:val="007017D4"/>
    <w:rsid w:val="00703235"/>
    <w:rsid w:val="00706A31"/>
    <w:rsid w:val="00707986"/>
    <w:rsid w:val="00707B95"/>
    <w:rsid w:val="00710D3D"/>
    <w:rsid w:val="00711031"/>
    <w:rsid w:val="00716B06"/>
    <w:rsid w:val="007178E5"/>
    <w:rsid w:val="007206F1"/>
    <w:rsid w:val="00721134"/>
    <w:rsid w:val="007214F6"/>
    <w:rsid w:val="00722E29"/>
    <w:rsid w:val="00723313"/>
    <w:rsid w:val="007237A9"/>
    <w:rsid w:val="007252D3"/>
    <w:rsid w:val="007264BF"/>
    <w:rsid w:val="007268ED"/>
    <w:rsid w:val="007304F8"/>
    <w:rsid w:val="007310BD"/>
    <w:rsid w:val="00733203"/>
    <w:rsid w:val="00733A04"/>
    <w:rsid w:val="007346ED"/>
    <w:rsid w:val="00736672"/>
    <w:rsid w:val="0073745F"/>
    <w:rsid w:val="007379A6"/>
    <w:rsid w:val="007401C8"/>
    <w:rsid w:val="00740684"/>
    <w:rsid w:val="00740ADF"/>
    <w:rsid w:val="00742600"/>
    <w:rsid w:val="00742B1E"/>
    <w:rsid w:val="00743EA0"/>
    <w:rsid w:val="0074469C"/>
    <w:rsid w:val="00744D68"/>
    <w:rsid w:val="007505F0"/>
    <w:rsid w:val="00750D63"/>
    <w:rsid w:val="0075147C"/>
    <w:rsid w:val="00751A45"/>
    <w:rsid w:val="00753C22"/>
    <w:rsid w:val="0075663F"/>
    <w:rsid w:val="00761E0C"/>
    <w:rsid w:val="00762D1B"/>
    <w:rsid w:val="007706D7"/>
    <w:rsid w:val="007709E8"/>
    <w:rsid w:val="00774087"/>
    <w:rsid w:val="00774D9F"/>
    <w:rsid w:val="00775292"/>
    <w:rsid w:val="007764C7"/>
    <w:rsid w:val="00782DF2"/>
    <w:rsid w:val="007837A1"/>
    <w:rsid w:val="007861E7"/>
    <w:rsid w:val="007864BA"/>
    <w:rsid w:val="00787078"/>
    <w:rsid w:val="00790302"/>
    <w:rsid w:val="00790342"/>
    <w:rsid w:val="00792A3D"/>
    <w:rsid w:val="007949FB"/>
    <w:rsid w:val="00795097"/>
    <w:rsid w:val="00797B67"/>
    <w:rsid w:val="007A0F25"/>
    <w:rsid w:val="007A1E01"/>
    <w:rsid w:val="007A205F"/>
    <w:rsid w:val="007A3894"/>
    <w:rsid w:val="007A42BD"/>
    <w:rsid w:val="007A5178"/>
    <w:rsid w:val="007A5251"/>
    <w:rsid w:val="007A5698"/>
    <w:rsid w:val="007A7B92"/>
    <w:rsid w:val="007B0EDC"/>
    <w:rsid w:val="007B13BB"/>
    <w:rsid w:val="007B241A"/>
    <w:rsid w:val="007B270C"/>
    <w:rsid w:val="007B2FE7"/>
    <w:rsid w:val="007B5466"/>
    <w:rsid w:val="007B74F2"/>
    <w:rsid w:val="007C03CE"/>
    <w:rsid w:val="007C26A8"/>
    <w:rsid w:val="007C4757"/>
    <w:rsid w:val="007C60E6"/>
    <w:rsid w:val="007C78BC"/>
    <w:rsid w:val="007D12E7"/>
    <w:rsid w:val="007D18E2"/>
    <w:rsid w:val="007D39A5"/>
    <w:rsid w:val="007D55FB"/>
    <w:rsid w:val="007D5C60"/>
    <w:rsid w:val="007D6C9F"/>
    <w:rsid w:val="007D7ED9"/>
    <w:rsid w:val="007E06E1"/>
    <w:rsid w:val="007E1E3D"/>
    <w:rsid w:val="007E1EDF"/>
    <w:rsid w:val="007E2529"/>
    <w:rsid w:val="007E4783"/>
    <w:rsid w:val="007E50E7"/>
    <w:rsid w:val="007E611D"/>
    <w:rsid w:val="007E6532"/>
    <w:rsid w:val="007E7DE2"/>
    <w:rsid w:val="007F2CD5"/>
    <w:rsid w:val="007F6121"/>
    <w:rsid w:val="007F6AC7"/>
    <w:rsid w:val="007F7122"/>
    <w:rsid w:val="00802A3A"/>
    <w:rsid w:val="00802D74"/>
    <w:rsid w:val="00807089"/>
    <w:rsid w:val="00810EDB"/>
    <w:rsid w:val="008116FF"/>
    <w:rsid w:val="00812431"/>
    <w:rsid w:val="00813406"/>
    <w:rsid w:val="0081438B"/>
    <w:rsid w:val="00816042"/>
    <w:rsid w:val="00817017"/>
    <w:rsid w:val="00817700"/>
    <w:rsid w:val="00817EF7"/>
    <w:rsid w:val="00823A5B"/>
    <w:rsid w:val="00824181"/>
    <w:rsid w:val="00826DBA"/>
    <w:rsid w:val="008274DA"/>
    <w:rsid w:val="00827725"/>
    <w:rsid w:val="00831CEB"/>
    <w:rsid w:val="00832DA1"/>
    <w:rsid w:val="0083323F"/>
    <w:rsid w:val="0083574B"/>
    <w:rsid w:val="008367D4"/>
    <w:rsid w:val="0083736B"/>
    <w:rsid w:val="008402CF"/>
    <w:rsid w:val="008403F0"/>
    <w:rsid w:val="00844F19"/>
    <w:rsid w:val="0085047C"/>
    <w:rsid w:val="008512E9"/>
    <w:rsid w:val="00851798"/>
    <w:rsid w:val="00853873"/>
    <w:rsid w:val="00857B62"/>
    <w:rsid w:val="00860329"/>
    <w:rsid w:val="00861116"/>
    <w:rsid w:val="00861BF7"/>
    <w:rsid w:val="008625AC"/>
    <w:rsid w:val="00863CC8"/>
    <w:rsid w:val="00864AD2"/>
    <w:rsid w:val="008673DA"/>
    <w:rsid w:val="00870E99"/>
    <w:rsid w:val="00871064"/>
    <w:rsid w:val="00871A7A"/>
    <w:rsid w:val="00871A8A"/>
    <w:rsid w:val="00871F5B"/>
    <w:rsid w:val="00872B21"/>
    <w:rsid w:val="00875488"/>
    <w:rsid w:val="00875943"/>
    <w:rsid w:val="008806D5"/>
    <w:rsid w:val="008810D7"/>
    <w:rsid w:val="0088281E"/>
    <w:rsid w:val="0088342B"/>
    <w:rsid w:val="008839A2"/>
    <w:rsid w:val="0088425B"/>
    <w:rsid w:val="00884CD3"/>
    <w:rsid w:val="008850F3"/>
    <w:rsid w:val="008852E1"/>
    <w:rsid w:val="00887CBF"/>
    <w:rsid w:val="00890175"/>
    <w:rsid w:val="00890C07"/>
    <w:rsid w:val="00891479"/>
    <w:rsid w:val="00892B24"/>
    <w:rsid w:val="00892DED"/>
    <w:rsid w:val="00895832"/>
    <w:rsid w:val="008A2049"/>
    <w:rsid w:val="008A22CC"/>
    <w:rsid w:val="008A4B2B"/>
    <w:rsid w:val="008A58A0"/>
    <w:rsid w:val="008A7EDE"/>
    <w:rsid w:val="008B12C7"/>
    <w:rsid w:val="008B1592"/>
    <w:rsid w:val="008B2127"/>
    <w:rsid w:val="008B2D10"/>
    <w:rsid w:val="008B3931"/>
    <w:rsid w:val="008B3DDD"/>
    <w:rsid w:val="008B40BC"/>
    <w:rsid w:val="008B742D"/>
    <w:rsid w:val="008C1B2A"/>
    <w:rsid w:val="008C2552"/>
    <w:rsid w:val="008C29E6"/>
    <w:rsid w:val="008C7250"/>
    <w:rsid w:val="008C7B10"/>
    <w:rsid w:val="008D0867"/>
    <w:rsid w:val="008D4CAC"/>
    <w:rsid w:val="008D69E7"/>
    <w:rsid w:val="008D6A39"/>
    <w:rsid w:val="008D70A2"/>
    <w:rsid w:val="008D7465"/>
    <w:rsid w:val="008D7CFE"/>
    <w:rsid w:val="008E02A3"/>
    <w:rsid w:val="008E16F3"/>
    <w:rsid w:val="008E2067"/>
    <w:rsid w:val="008E2E28"/>
    <w:rsid w:val="008E3B8E"/>
    <w:rsid w:val="008E694B"/>
    <w:rsid w:val="008E6A5D"/>
    <w:rsid w:val="008E73AF"/>
    <w:rsid w:val="008E74D6"/>
    <w:rsid w:val="008F059B"/>
    <w:rsid w:val="008F2E13"/>
    <w:rsid w:val="008F315A"/>
    <w:rsid w:val="008F395C"/>
    <w:rsid w:val="008F41C5"/>
    <w:rsid w:val="008F600F"/>
    <w:rsid w:val="008F7AC1"/>
    <w:rsid w:val="008F7BD8"/>
    <w:rsid w:val="00900EE9"/>
    <w:rsid w:val="00907108"/>
    <w:rsid w:val="0091004D"/>
    <w:rsid w:val="00911D83"/>
    <w:rsid w:val="00914F33"/>
    <w:rsid w:val="009200BB"/>
    <w:rsid w:val="00921CE6"/>
    <w:rsid w:val="00923518"/>
    <w:rsid w:val="00924491"/>
    <w:rsid w:val="0092664E"/>
    <w:rsid w:val="00930567"/>
    <w:rsid w:val="00933783"/>
    <w:rsid w:val="00935F8A"/>
    <w:rsid w:val="00936C6D"/>
    <w:rsid w:val="00936FDC"/>
    <w:rsid w:val="00937475"/>
    <w:rsid w:val="009378B8"/>
    <w:rsid w:val="00940367"/>
    <w:rsid w:val="0094074D"/>
    <w:rsid w:val="0094121E"/>
    <w:rsid w:val="00942783"/>
    <w:rsid w:val="00942D85"/>
    <w:rsid w:val="009435DC"/>
    <w:rsid w:val="009437F9"/>
    <w:rsid w:val="00944BB1"/>
    <w:rsid w:val="00946A98"/>
    <w:rsid w:val="0094701C"/>
    <w:rsid w:val="0094756E"/>
    <w:rsid w:val="009503C9"/>
    <w:rsid w:val="009506CE"/>
    <w:rsid w:val="009510E4"/>
    <w:rsid w:val="009538D0"/>
    <w:rsid w:val="009543BA"/>
    <w:rsid w:val="00955E36"/>
    <w:rsid w:val="00956520"/>
    <w:rsid w:val="00957A72"/>
    <w:rsid w:val="009637E5"/>
    <w:rsid w:val="00964280"/>
    <w:rsid w:val="0096454D"/>
    <w:rsid w:val="00966861"/>
    <w:rsid w:val="0097042D"/>
    <w:rsid w:val="00970FA7"/>
    <w:rsid w:val="00973216"/>
    <w:rsid w:val="00975CDD"/>
    <w:rsid w:val="00975E86"/>
    <w:rsid w:val="0097650A"/>
    <w:rsid w:val="00981423"/>
    <w:rsid w:val="0098143E"/>
    <w:rsid w:val="00981E8F"/>
    <w:rsid w:val="00983DA9"/>
    <w:rsid w:val="0099047A"/>
    <w:rsid w:val="00991D12"/>
    <w:rsid w:val="009948D6"/>
    <w:rsid w:val="00997381"/>
    <w:rsid w:val="0099746B"/>
    <w:rsid w:val="00997E03"/>
    <w:rsid w:val="009A2451"/>
    <w:rsid w:val="009A3233"/>
    <w:rsid w:val="009A35E7"/>
    <w:rsid w:val="009A4F29"/>
    <w:rsid w:val="009A599E"/>
    <w:rsid w:val="009A71E3"/>
    <w:rsid w:val="009B0380"/>
    <w:rsid w:val="009B187E"/>
    <w:rsid w:val="009B1FEE"/>
    <w:rsid w:val="009B2A8E"/>
    <w:rsid w:val="009B3503"/>
    <w:rsid w:val="009B3590"/>
    <w:rsid w:val="009B3F11"/>
    <w:rsid w:val="009B4436"/>
    <w:rsid w:val="009B443C"/>
    <w:rsid w:val="009B5478"/>
    <w:rsid w:val="009B58F9"/>
    <w:rsid w:val="009B5E9E"/>
    <w:rsid w:val="009B6180"/>
    <w:rsid w:val="009C3EB3"/>
    <w:rsid w:val="009C429D"/>
    <w:rsid w:val="009C52B2"/>
    <w:rsid w:val="009C54E8"/>
    <w:rsid w:val="009C76EA"/>
    <w:rsid w:val="009C7B6E"/>
    <w:rsid w:val="009D0C3C"/>
    <w:rsid w:val="009D31BE"/>
    <w:rsid w:val="009D3A78"/>
    <w:rsid w:val="009D4C3F"/>
    <w:rsid w:val="009D555D"/>
    <w:rsid w:val="009D64F6"/>
    <w:rsid w:val="009D7FB1"/>
    <w:rsid w:val="009E2E8D"/>
    <w:rsid w:val="009E4262"/>
    <w:rsid w:val="009E6952"/>
    <w:rsid w:val="009F06C1"/>
    <w:rsid w:val="009F0E4E"/>
    <w:rsid w:val="009F218E"/>
    <w:rsid w:val="009F2B68"/>
    <w:rsid w:val="009F41DB"/>
    <w:rsid w:val="009F5129"/>
    <w:rsid w:val="009F5A94"/>
    <w:rsid w:val="009F6439"/>
    <w:rsid w:val="00A01E41"/>
    <w:rsid w:val="00A03014"/>
    <w:rsid w:val="00A05A15"/>
    <w:rsid w:val="00A06955"/>
    <w:rsid w:val="00A06C34"/>
    <w:rsid w:val="00A101D5"/>
    <w:rsid w:val="00A10322"/>
    <w:rsid w:val="00A14E95"/>
    <w:rsid w:val="00A1648C"/>
    <w:rsid w:val="00A16887"/>
    <w:rsid w:val="00A210C5"/>
    <w:rsid w:val="00A219DA"/>
    <w:rsid w:val="00A22A46"/>
    <w:rsid w:val="00A23305"/>
    <w:rsid w:val="00A27712"/>
    <w:rsid w:val="00A3108B"/>
    <w:rsid w:val="00A3166A"/>
    <w:rsid w:val="00A32C0A"/>
    <w:rsid w:val="00A33282"/>
    <w:rsid w:val="00A33571"/>
    <w:rsid w:val="00A335EA"/>
    <w:rsid w:val="00A34D89"/>
    <w:rsid w:val="00A35CD1"/>
    <w:rsid w:val="00A37174"/>
    <w:rsid w:val="00A37F51"/>
    <w:rsid w:val="00A401BF"/>
    <w:rsid w:val="00A42AF2"/>
    <w:rsid w:val="00A4355A"/>
    <w:rsid w:val="00A43BE6"/>
    <w:rsid w:val="00A46413"/>
    <w:rsid w:val="00A475A6"/>
    <w:rsid w:val="00A47CCD"/>
    <w:rsid w:val="00A52789"/>
    <w:rsid w:val="00A52CA1"/>
    <w:rsid w:val="00A52FF5"/>
    <w:rsid w:val="00A547E1"/>
    <w:rsid w:val="00A55201"/>
    <w:rsid w:val="00A576AC"/>
    <w:rsid w:val="00A57FA7"/>
    <w:rsid w:val="00A600E3"/>
    <w:rsid w:val="00A605FA"/>
    <w:rsid w:val="00A60A8E"/>
    <w:rsid w:val="00A62361"/>
    <w:rsid w:val="00A623A3"/>
    <w:rsid w:val="00A62A63"/>
    <w:rsid w:val="00A63997"/>
    <w:rsid w:val="00A64614"/>
    <w:rsid w:val="00A6508E"/>
    <w:rsid w:val="00A654B8"/>
    <w:rsid w:val="00A670AA"/>
    <w:rsid w:val="00A6725D"/>
    <w:rsid w:val="00A717E4"/>
    <w:rsid w:val="00A720FF"/>
    <w:rsid w:val="00A7257E"/>
    <w:rsid w:val="00A7420D"/>
    <w:rsid w:val="00A7764D"/>
    <w:rsid w:val="00A778C7"/>
    <w:rsid w:val="00A77F60"/>
    <w:rsid w:val="00A80365"/>
    <w:rsid w:val="00A80519"/>
    <w:rsid w:val="00A816AC"/>
    <w:rsid w:val="00A83491"/>
    <w:rsid w:val="00A838C7"/>
    <w:rsid w:val="00A849DC"/>
    <w:rsid w:val="00A85DD4"/>
    <w:rsid w:val="00A86263"/>
    <w:rsid w:val="00A86AB4"/>
    <w:rsid w:val="00A87E95"/>
    <w:rsid w:val="00A92485"/>
    <w:rsid w:val="00A92E51"/>
    <w:rsid w:val="00A94733"/>
    <w:rsid w:val="00A961F8"/>
    <w:rsid w:val="00A975DB"/>
    <w:rsid w:val="00AA084F"/>
    <w:rsid w:val="00AA1166"/>
    <w:rsid w:val="00AA3250"/>
    <w:rsid w:val="00AA3BC3"/>
    <w:rsid w:val="00AA3FC1"/>
    <w:rsid w:val="00AA4843"/>
    <w:rsid w:val="00AA5044"/>
    <w:rsid w:val="00AA5AD2"/>
    <w:rsid w:val="00AA6A9A"/>
    <w:rsid w:val="00AA74A5"/>
    <w:rsid w:val="00AA7BB3"/>
    <w:rsid w:val="00AB2BE9"/>
    <w:rsid w:val="00AB37B9"/>
    <w:rsid w:val="00AB4967"/>
    <w:rsid w:val="00AB4F86"/>
    <w:rsid w:val="00AB5734"/>
    <w:rsid w:val="00AB69BA"/>
    <w:rsid w:val="00AB7E2D"/>
    <w:rsid w:val="00AC21BD"/>
    <w:rsid w:val="00AC2900"/>
    <w:rsid w:val="00AC5460"/>
    <w:rsid w:val="00AC549E"/>
    <w:rsid w:val="00AC5AD4"/>
    <w:rsid w:val="00AC5D08"/>
    <w:rsid w:val="00AD2463"/>
    <w:rsid w:val="00AD2A21"/>
    <w:rsid w:val="00AD3AB0"/>
    <w:rsid w:val="00AD4F35"/>
    <w:rsid w:val="00AD5107"/>
    <w:rsid w:val="00AD6F13"/>
    <w:rsid w:val="00AD743F"/>
    <w:rsid w:val="00AD7FF0"/>
    <w:rsid w:val="00AE02D9"/>
    <w:rsid w:val="00AE047E"/>
    <w:rsid w:val="00AE1044"/>
    <w:rsid w:val="00AE294D"/>
    <w:rsid w:val="00AE3E2C"/>
    <w:rsid w:val="00AE5386"/>
    <w:rsid w:val="00AE555E"/>
    <w:rsid w:val="00AE6BCF"/>
    <w:rsid w:val="00AE7711"/>
    <w:rsid w:val="00AF0883"/>
    <w:rsid w:val="00AF4343"/>
    <w:rsid w:val="00B01397"/>
    <w:rsid w:val="00B02BD4"/>
    <w:rsid w:val="00B035C2"/>
    <w:rsid w:val="00B04647"/>
    <w:rsid w:val="00B04E34"/>
    <w:rsid w:val="00B04E5E"/>
    <w:rsid w:val="00B058B9"/>
    <w:rsid w:val="00B05E9A"/>
    <w:rsid w:val="00B07053"/>
    <w:rsid w:val="00B12F31"/>
    <w:rsid w:val="00B135A8"/>
    <w:rsid w:val="00B13CB9"/>
    <w:rsid w:val="00B20EE5"/>
    <w:rsid w:val="00B2258D"/>
    <w:rsid w:val="00B261B7"/>
    <w:rsid w:val="00B307C3"/>
    <w:rsid w:val="00B3367D"/>
    <w:rsid w:val="00B33F35"/>
    <w:rsid w:val="00B34CDC"/>
    <w:rsid w:val="00B35171"/>
    <w:rsid w:val="00B356B5"/>
    <w:rsid w:val="00B36FDA"/>
    <w:rsid w:val="00B40A92"/>
    <w:rsid w:val="00B41561"/>
    <w:rsid w:val="00B442E6"/>
    <w:rsid w:val="00B443CE"/>
    <w:rsid w:val="00B464FF"/>
    <w:rsid w:val="00B52898"/>
    <w:rsid w:val="00B52F68"/>
    <w:rsid w:val="00B54499"/>
    <w:rsid w:val="00B55D38"/>
    <w:rsid w:val="00B60374"/>
    <w:rsid w:val="00B60C44"/>
    <w:rsid w:val="00B61353"/>
    <w:rsid w:val="00B6148C"/>
    <w:rsid w:val="00B61554"/>
    <w:rsid w:val="00B64D9C"/>
    <w:rsid w:val="00B6530E"/>
    <w:rsid w:val="00B7095C"/>
    <w:rsid w:val="00B73551"/>
    <w:rsid w:val="00B75E1C"/>
    <w:rsid w:val="00B7725F"/>
    <w:rsid w:val="00B77A2D"/>
    <w:rsid w:val="00B80089"/>
    <w:rsid w:val="00B80EF3"/>
    <w:rsid w:val="00B81EAC"/>
    <w:rsid w:val="00B824B6"/>
    <w:rsid w:val="00B82ED9"/>
    <w:rsid w:val="00B85E93"/>
    <w:rsid w:val="00B86239"/>
    <w:rsid w:val="00B8718D"/>
    <w:rsid w:val="00B878D5"/>
    <w:rsid w:val="00B90215"/>
    <w:rsid w:val="00B9347F"/>
    <w:rsid w:val="00B94707"/>
    <w:rsid w:val="00B957F0"/>
    <w:rsid w:val="00BA00F5"/>
    <w:rsid w:val="00BA02F2"/>
    <w:rsid w:val="00BA06CB"/>
    <w:rsid w:val="00BA2629"/>
    <w:rsid w:val="00BA4352"/>
    <w:rsid w:val="00BA4A98"/>
    <w:rsid w:val="00BA542A"/>
    <w:rsid w:val="00BA5AF4"/>
    <w:rsid w:val="00BA61EC"/>
    <w:rsid w:val="00BA6514"/>
    <w:rsid w:val="00BB05AD"/>
    <w:rsid w:val="00BB0E51"/>
    <w:rsid w:val="00BB5BF8"/>
    <w:rsid w:val="00BC0D32"/>
    <w:rsid w:val="00BC263E"/>
    <w:rsid w:val="00BC3227"/>
    <w:rsid w:val="00BC6776"/>
    <w:rsid w:val="00BC7190"/>
    <w:rsid w:val="00BD1B61"/>
    <w:rsid w:val="00BD3317"/>
    <w:rsid w:val="00BD4BE7"/>
    <w:rsid w:val="00BD5739"/>
    <w:rsid w:val="00BD6A41"/>
    <w:rsid w:val="00BD6B1D"/>
    <w:rsid w:val="00BD77CF"/>
    <w:rsid w:val="00BD7AED"/>
    <w:rsid w:val="00BD7B64"/>
    <w:rsid w:val="00BE0B80"/>
    <w:rsid w:val="00BE147D"/>
    <w:rsid w:val="00BE1672"/>
    <w:rsid w:val="00BE2266"/>
    <w:rsid w:val="00BE295F"/>
    <w:rsid w:val="00BE6744"/>
    <w:rsid w:val="00BE73B2"/>
    <w:rsid w:val="00BE754D"/>
    <w:rsid w:val="00BE7686"/>
    <w:rsid w:val="00BE7DBA"/>
    <w:rsid w:val="00BF0813"/>
    <w:rsid w:val="00BF22F4"/>
    <w:rsid w:val="00BF38CD"/>
    <w:rsid w:val="00BF3C1C"/>
    <w:rsid w:val="00BF75C0"/>
    <w:rsid w:val="00BF7F37"/>
    <w:rsid w:val="00C0014E"/>
    <w:rsid w:val="00C00277"/>
    <w:rsid w:val="00C02365"/>
    <w:rsid w:val="00C072F0"/>
    <w:rsid w:val="00C0780F"/>
    <w:rsid w:val="00C1094D"/>
    <w:rsid w:val="00C12624"/>
    <w:rsid w:val="00C14921"/>
    <w:rsid w:val="00C149AD"/>
    <w:rsid w:val="00C23559"/>
    <w:rsid w:val="00C23963"/>
    <w:rsid w:val="00C23F6F"/>
    <w:rsid w:val="00C244E5"/>
    <w:rsid w:val="00C2525A"/>
    <w:rsid w:val="00C27991"/>
    <w:rsid w:val="00C30312"/>
    <w:rsid w:val="00C303B2"/>
    <w:rsid w:val="00C319C5"/>
    <w:rsid w:val="00C33473"/>
    <w:rsid w:val="00C35CAB"/>
    <w:rsid w:val="00C3622B"/>
    <w:rsid w:val="00C36398"/>
    <w:rsid w:val="00C36A4F"/>
    <w:rsid w:val="00C40C05"/>
    <w:rsid w:val="00C41CDC"/>
    <w:rsid w:val="00C41F96"/>
    <w:rsid w:val="00C421D3"/>
    <w:rsid w:val="00C5082A"/>
    <w:rsid w:val="00C50ADD"/>
    <w:rsid w:val="00C51BB6"/>
    <w:rsid w:val="00C53070"/>
    <w:rsid w:val="00C54FF1"/>
    <w:rsid w:val="00C55438"/>
    <w:rsid w:val="00C556C2"/>
    <w:rsid w:val="00C56BED"/>
    <w:rsid w:val="00C57E05"/>
    <w:rsid w:val="00C57E69"/>
    <w:rsid w:val="00C6252C"/>
    <w:rsid w:val="00C6467B"/>
    <w:rsid w:val="00C6505A"/>
    <w:rsid w:val="00C6601B"/>
    <w:rsid w:val="00C70D65"/>
    <w:rsid w:val="00C732FB"/>
    <w:rsid w:val="00C739F1"/>
    <w:rsid w:val="00C7505D"/>
    <w:rsid w:val="00C76B2B"/>
    <w:rsid w:val="00C773CE"/>
    <w:rsid w:val="00C77AA9"/>
    <w:rsid w:val="00C8265F"/>
    <w:rsid w:val="00C82D89"/>
    <w:rsid w:val="00C8422C"/>
    <w:rsid w:val="00C847F3"/>
    <w:rsid w:val="00C87778"/>
    <w:rsid w:val="00C87C36"/>
    <w:rsid w:val="00C9275F"/>
    <w:rsid w:val="00C94017"/>
    <w:rsid w:val="00C958B8"/>
    <w:rsid w:val="00CA1812"/>
    <w:rsid w:val="00CA20FD"/>
    <w:rsid w:val="00CA5B30"/>
    <w:rsid w:val="00CB0433"/>
    <w:rsid w:val="00CB17E8"/>
    <w:rsid w:val="00CB3479"/>
    <w:rsid w:val="00CB44A7"/>
    <w:rsid w:val="00CB5C51"/>
    <w:rsid w:val="00CC1410"/>
    <w:rsid w:val="00CC33D7"/>
    <w:rsid w:val="00CC33DA"/>
    <w:rsid w:val="00CC3D20"/>
    <w:rsid w:val="00CC6021"/>
    <w:rsid w:val="00CD1256"/>
    <w:rsid w:val="00CD154F"/>
    <w:rsid w:val="00CD4AB8"/>
    <w:rsid w:val="00CD4E2E"/>
    <w:rsid w:val="00CD54F1"/>
    <w:rsid w:val="00CE181B"/>
    <w:rsid w:val="00CE3B06"/>
    <w:rsid w:val="00CE3E49"/>
    <w:rsid w:val="00CE5F5E"/>
    <w:rsid w:val="00CE6007"/>
    <w:rsid w:val="00CF4741"/>
    <w:rsid w:val="00CF72E5"/>
    <w:rsid w:val="00CF7FC1"/>
    <w:rsid w:val="00D02331"/>
    <w:rsid w:val="00D04898"/>
    <w:rsid w:val="00D07823"/>
    <w:rsid w:val="00D07D17"/>
    <w:rsid w:val="00D12D02"/>
    <w:rsid w:val="00D1471F"/>
    <w:rsid w:val="00D15A6C"/>
    <w:rsid w:val="00D15A9F"/>
    <w:rsid w:val="00D22979"/>
    <w:rsid w:val="00D25AE1"/>
    <w:rsid w:val="00D25EBE"/>
    <w:rsid w:val="00D30D8B"/>
    <w:rsid w:val="00D30E40"/>
    <w:rsid w:val="00D34CE5"/>
    <w:rsid w:val="00D34E6C"/>
    <w:rsid w:val="00D3525B"/>
    <w:rsid w:val="00D364C2"/>
    <w:rsid w:val="00D37888"/>
    <w:rsid w:val="00D40514"/>
    <w:rsid w:val="00D43F6D"/>
    <w:rsid w:val="00D45A94"/>
    <w:rsid w:val="00D45E06"/>
    <w:rsid w:val="00D50B41"/>
    <w:rsid w:val="00D521FC"/>
    <w:rsid w:val="00D532D9"/>
    <w:rsid w:val="00D56D43"/>
    <w:rsid w:val="00D57BA9"/>
    <w:rsid w:val="00D6075E"/>
    <w:rsid w:val="00D6116E"/>
    <w:rsid w:val="00D63F07"/>
    <w:rsid w:val="00D67E19"/>
    <w:rsid w:val="00D700EF"/>
    <w:rsid w:val="00D71190"/>
    <w:rsid w:val="00D723D7"/>
    <w:rsid w:val="00D72971"/>
    <w:rsid w:val="00D73ED1"/>
    <w:rsid w:val="00D76AAF"/>
    <w:rsid w:val="00D76EDB"/>
    <w:rsid w:val="00D77020"/>
    <w:rsid w:val="00D7726E"/>
    <w:rsid w:val="00D77F90"/>
    <w:rsid w:val="00D802C4"/>
    <w:rsid w:val="00D814A6"/>
    <w:rsid w:val="00D8273C"/>
    <w:rsid w:val="00D83042"/>
    <w:rsid w:val="00D83473"/>
    <w:rsid w:val="00D834B9"/>
    <w:rsid w:val="00D84802"/>
    <w:rsid w:val="00D93B72"/>
    <w:rsid w:val="00D94145"/>
    <w:rsid w:val="00D94522"/>
    <w:rsid w:val="00D94C74"/>
    <w:rsid w:val="00D9541B"/>
    <w:rsid w:val="00D96CEC"/>
    <w:rsid w:val="00DA13D1"/>
    <w:rsid w:val="00DA2C6C"/>
    <w:rsid w:val="00DA2D56"/>
    <w:rsid w:val="00DA37CC"/>
    <w:rsid w:val="00DA3940"/>
    <w:rsid w:val="00DA59CC"/>
    <w:rsid w:val="00DB0016"/>
    <w:rsid w:val="00DB1752"/>
    <w:rsid w:val="00DB1C0A"/>
    <w:rsid w:val="00DB3038"/>
    <w:rsid w:val="00DB4AF9"/>
    <w:rsid w:val="00DB4B9A"/>
    <w:rsid w:val="00DB5171"/>
    <w:rsid w:val="00DB5887"/>
    <w:rsid w:val="00DC0D37"/>
    <w:rsid w:val="00DC12B8"/>
    <w:rsid w:val="00DC1A3D"/>
    <w:rsid w:val="00DC1C8C"/>
    <w:rsid w:val="00DC52C0"/>
    <w:rsid w:val="00DC5A4C"/>
    <w:rsid w:val="00DC75B0"/>
    <w:rsid w:val="00DC7BA5"/>
    <w:rsid w:val="00DD06CC"/>
    <w:rsid w:val="00DD11D0"/>
    <w:rsid w:val="00DD12A2"/>
    <w:rsid w:val="00DD1835"/>
    <w:rsid w:val="00DD4E81"/>
    <w:rsid w:val="00DD60ED"/>
    <w:rsid w:val="00DD7911"/>
    <w:rsid w:val="00DE34D9"/>
    <w:rsid w:val="00DE4150"/>
    <w:rsid w:val="00DE45D3"/>
    <w:rsid w:val="00DE5FBE"/>
    <w:rsid w:val="00DE737F"/>
    <w:rsid w:val="00DE75BA"/>
    <w:rsid w:val="00DF17B7"/>
    <w:rsid w:val="00DF1E71"/>
    <w:rsid w:val="00DF2848"/>
    <w:rsid w:val="00DF396F"/>
    <w:rsid w:val="00DF414C"/>
    <w:rsid w:val="00DF7BAC"/>
    <w:rsid w:val="00E00709"/>
    <w:rsid w:val="00E00F14"/>
    <w:rsid w:val="00E026FD"/>
    <w:rsid w:val="00E02CDC"/>
    <w:rsid w:val="00E04503"/>
    <w:rsid w:val="00E05651"/>
    <w:rsid w:val="00E06EEF"/>
    <w:rsid w:val="00E07715"/>
    <w:rsid w:val="00E10ABA"/>
    <w:rsid w:val="00E10E1E"/>
    <w:rsid w:val="00E12554"/>
    <w:rsid w:val="00E161E9"/>
    <w:rsid w:val="00E20037"/>
    <w:rsid w:val="00E21D15"/>
    <w:rsid w:val="00E23CB0"/>
    <w:rsid w:val="00E2447E"/>
    <w:rsid w:val="00E247C1"/>
    <w:rsid w:val="00E248D2"/>
    <w:rsid w:val="00E264B9"/>
    <w:rsid w:val="00E26F91"/>
    <w:rsid w:val="00E27D6D"/>
    <w:rsid w:val="00E302FE"/>
    <w:rsid w:val="00E30C8C"/>
    <w:rsid w:val="00E32981"/>
    <w:rsid w:val="00E336DA"/>
    <w:rsid w:val="00E34912"/>
    <w:rsid w:val="00E361AF"/>
    <w:rsid w:val="00E3761B"/>
    <w:rsid w:val="00E4073D"/>
    <w:rsid w:val="00E43BE4"/>
    <w:rsid w:val="00E4447C"/>
    <w:rsid w:val="00E44FFB"/>
    <w:rsid w:val="00E452DF"/>
    <w:rsid w:val="00E455F4"/>
    <w:rsid w:val="00E45C55"/>
    <w:rsid w:val="00E4687B"/>
    <w:rsid w:val="00E4757A"/>
    <w:rsid w:val="00E50FA5"/>
    <w:rsid w:val="00E51F73"/>
    <w:rsid w:val="00E52A6F"/>
    <w:rsid w:val="00E54AEF"/>
    <w:rsid w:val="00E54E75"/>
    <w:rsid w:val="00E55C41"/>
    <w:rsid w:val="00E602C5"/>
    <w:rsid w:val="00E61B59"/>
    <w:rsid w:val="00E63348"/>
    <w:rsid w:val="00E634E5"/>
    <w:rsid w:val="00E70182"/>
    <w:rsid w:val="00E70C52"/>
    <w:rsid w:val="00E72E34"/>
    <w:rsid w:val="00E737A4"/>
    <w:rsid w:val="00E75734"/>
    <w:rsid w:val="00E77B92"/>
    <w:rsid w:val="00E800D1"/>
    <w:rsid w:val="00E818C3"/>
    <w:rsid w:val="00E840C2"/>
    <w:rsid w:val="00E85E8D"/>
    <w:rsid w:val="00E8666C"/>
    <w:rsid w:val="00E90A91"/>
    <w:rsid w:val="00E91863"/>
    <w:rsid w:val="00E93CF4"/>
    <w:rsid w:val="00E96C43"/>
    <w:rsid w:val="00E97592"/>
    <w:rsid w:val="00E97699"/>
    <w:rsid w:val="00EA0968"/>
    <w:rsid w:val="00EA386A"/>
    <w:rsid w:val="00EA3BBD"/>
    <w:rsid w:val="00EA4519"/>
    <w:rsid w:val="00EA65BA"/>
    <w:rsid w:val="00EA6C27"/>
    <w:rsid w:val="00EB01B6"/>
    <w:rsid w:val="00EB0B50"/>
    <w:rsid w:val="00EB0C4B"/>
    <w:rsid w:val="00EB1078"/>
    <w:rsid w:val="00EB1BE1"/>
    <w:rsid w:val="00EB6A8D"/>
    <w:rsid w:val="00EB7EF8"/>
    <w:rsid w:val="00EC0321"/>
    <w:rsid w:val="00EC2C17"/>
    <w:rsid w:val="00EC3C7C"/>
    <w:rsid w:val="00EC5A62"/>
    <w:rsid w:val="00ED0326"/>
    <w:rsid w:val="00ED1E31"/>
    <w:rsid w:val="00ED3360"/>
    <w:rsid w:val="00ED35B2"/>
    <w:rsid w:val="00ED6F90"/>
    <w:rsid w:val="00ED7B67"/>
    <w:rsid w:val="00EE058D"/>
    <w:rsid w:val="00EE1CE4"/>
    <w:rsid w:val="00EE1F71"/>
    <w:rsid w:val="00EE2747"/>
    <w:rsid w:val="00EE3AF8"/>
    <w:rsid w:val="00EE4BFE"/>
    <w:rsid w:val="00EE5301"/>
    <w:rsid w:val="00EE55F7"/>
    <w:rsid w:val="00EE623F"/>
    <w:rsid w:val="00EE7645"/>
    <w:rsid w:val="00EE795B"/>
    <w:rsid w:val="00EF058D"/>
    <w:rsid w:val="00EF1A69"/>
    <w:rsid w:val="00EF2E63"/>
    <w:rsid w:val="00EF3EE3"/>
    <w:rsid w:val="00EF57FB"/>
    <w:rsid w:val="00EF64EA"/>
    <w:rsid w:val="00EF784C"/>
    <w:rsid w:val="00F004EC"/>
    <w:rsid w:val="00F01A2B"/>
    <w:rsid w:val="00F03961"/>
    <w:rsid w:val="00F0405D"/>
    <w:rsid w:val="00F048C0"/>
    <w:rsid w:val="00F07BEB"/>
    <w:rsid w:val="00F07BF2"/>
    <w:rsid w:val="00F07ED7"/>
    <w:rsid w:val="00F137CA"/>
    <w:rsid w:val="00F14881"/>
    <w:rsid w:val="00F15474"/>
    <w:rsid w:val="00F16F31"/>
    <w:rsid w:val="00F16FFB"/>
    <w:rsid w:val="00F1742E"/>
    <w:rsid w:val="00F21089"/>
    <w:rsid w:val="00F21728"/>
    <w:rsid w:val="00F2188E"/>
    <w:rsid w:val="00F21F31"/>
    <w:rsid w:val="00F232B2"/>
    <w:rsid w:val="00F2375E"/>
    <w:rsid w:val="00F27A79"/>
    <w:rsid w:val="00F30538"/>
    <w:rsid w:val="00F314B6"/>
    <w:rsid w:val="00F37C31"/>
    <w:rsid w:val="00F40317"/>
    <w:rsid w:val="00F454C7"/>
    <w:rsid w:val="00F45982"/>
    <w:rsid w:val="00F4624B"/>
    <w:rsid w:val="00F46F17"/>
    <w:rsid w:val="00F50F25"/>
    <w:rsid w:val="00F534F2"/>
    <w:rsid w:val="00F54402"/>
    <w:rsid w:val="00F54C72"/>
    <w:rsid w:val="00F5575C"/>
    <w:rsid w:val="00F56520"/>
    <w:rsid w:val="00F56A10"/>
    <w:rsid w:val="00F60899"/>
    <w:rsid w:val="00F614D8"/>
    <w:rsid w:val="00F6199D"/>
    <w:rsid w:val="00F619A8"/>
    <w:rsid w:val="00F63AA1"/>
    <w:rsid w:val="00F6423A"/>
    <w:rsid w:val="00F71116"/>
    <w:rsid w:val="00F72CDC"/>
    <w:rsid w:val="00F73A5D"/>
    <w:rsid w:val="00F74647"/>
    <w:rsid w:val="00F76E43"/>
    <w:rsid w:val="00F771A1"/>
    <w:rsid w:val="00F77C95"/>
    <w:rsid w:val="00F834D5"/>
    <w:rsid w:val="00F876B7"/>
    <w:rsid w:val="00F91850"/>
    <w:rsid w:val="00F920C0"/>
    <w:rsid w:val="00F92249"/>
    <w:rsid w:val="00F92F20"/>
    <w:rsid w:val="00F9372D"/>
    <w:rsid w:val="00F948AD"/>
    <w:rsid w:val="00F94BC2"/>
    <w:rsid w:val="00F962B9"/>
    <w:rsid w:val="00F96CB1"/>
    <w:rsid w:val="00F97270"/>
    <w:rsid w:val="00F97AD4"/>
    <w:rsid w:val="00FA03CA"/>
    <w:rsid w:val="00FA0CD9"/>
    <w:rsid w:val="00FA1595"/>
    <w:rsid w:val="00FA1CA9"/>
    <w:rsid w:val="00FA399D"/>
    <w:rsid w:val="00FA615B"/>
    <w:rsid w:val="00FA6CB5"/>
    <w:rsid w:val="00FB0C64"/>
    <w:rsid w:val="00FB24D1"/>
    <w:rsid w:val="00FB2D8E"/>
    <w:rsid w:val="00FB3D8C"/>
    <w:rsid w:val="00FB47EF"/>
    <w:rsid w:val="00FB4E25"/>
    <w:rsid w:val="00FB5576"/>
    <w:rsid w:val="00FB5F72"/>
    <w:rsid w:val="00FB6BF9"/>
    <w:rsid w:val="00FC0D2D"/>
    <w:rsid w:val="00FC3055"/>
    <w:rsid w:val="00FC3991"/>
    <w:rsid w:val="00FC3A05"/>
    <w:rsid w:val="00FC67A9"/>
    <w:rsid w:val="00FD2A6E"/>
    <w:rsid w:val="00FD3288"/>
    <w:rsid w:val="00FD5F97"/>
    <w:rsid w:val="00FD6BAB"/>
    <w:rsid w:val="00FD7219"/>
    <w:rsid w:val="00FE0C83"/>
    <w:rsid w:val="00FE0E8B"/>
    <w:rsid w:val="00FE1AD4"/>
    <w:rsid w:val="00FE2373"/>
    <w:rsid w:val="00FE4EF8"/>
    <w:rsid w:val="00FE62FC"/>
    <w:rsid w:val="00FE6F22"/>
    <w:rsid w:val="00FE731A"/>
    <w:rsid w:val="00FF0E8B"/>
    <w:rsid w:val="00FF2602"/>
    <w:rsid w:val="00FF41F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54F1"/>
    <w:pPr>
      <w:ind w:left="720"/>
      <w:contextualSpacing/>
    </w:pPr>
  </w:style>
  <w:style w:type="character" w:styleId="Hyperlink">
    <w:name w:val="Hyperlink"/>
    <w:basedOn w:val="DefaultParagraphFont"/>
    <w:uiPriority w:val="99"/>
    <w:unhideWhenUsed/>
    <w:rsid w:val="00CD54F1"/>
    <w:rPr>
      <w:color w:val="0000FF" w:themeColor="hyperlink"/>
      <w:u w:val="single"/>
    </w:rPr>
  </w:style>
  <w:style w:type="paragraph" w:styleId="Header">
    <w:name w:val="header"/>
    <w:basedOn w:val="Normal"/>
    <w:link w:val="HeaderChar"/>
    <w:uiPriority w:val="99"/>
    <w:unhideWhenUsed/>
    <w:rsid w:val="004E0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2F3"/>
  </w:style>
  <w:style w:type="paragraph" w:styleId="Footer">
    <w:name w:val="footer"/>
    <w:basedOn w:val="Normal"/>
    <w:link w:val="FooterChar"/>
    <w:uiPriority w:val="99"/>
    <w:unhideWhenUsed/>
    <w:rsid w:val="004E0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2F3"/>
  </w:style>
  <w:style w:type="paragraph" w:styleId="BalloonText">
    <w:name w:val="Balloon Text"/>
    <w:basedOn w:val="Normal"/>
    <w:link w:val="BalloonTextChar"/>
    <w:uiPriority w:val="99"/>
    <w:semiHidden/>
    <w:unhideWhenUsed/>
    <w:rsid w:val="004E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F3"/>
    <w:rPr>
      <w:rFonts w:ascii="Tahoma" w:hAnsi="Tahoma" w:cs="Tahoma"/>
      <w:sz w:val="16"/>
      <w:szCs w:val="16"/>
    </w:rPr>
  </w:style>
  <w:style w:type="table" w:styleId="TableGrid">
    <w:name w:val="Table Grid"/>
    <w:basedOn w:val="TableNormal"/>
    <w:uiPriority w:val="59"/>
    <w:rsid w:val="004E0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entury12">
    <w:name w:val="Century 12"/>
    <w:basedOn w:val="Normal"/>
    <w:link w:val="Century12Char"/>
    <w:qFormat/>
    <w:rsid w:val="00510CA2"/>
    <w:pPr>
      <w:spacing w:line="360" w:lineRule="auto"/>
    </w:pPr>
    <w:rPr>
      <w:rFonts w:ascii="Century Schoolbook" w:eastAsia="Times New Roman" w:hAnsi="Century Schoolbook" w:cs="Times New Roman"/>
      <w:sz w:val="24"/>
      <w:szCs w:val="24"/>
    </w:rPr>
  </w:style>
  <w:style w:type="character" w:customStyle="1" w:styleId="Century12Char">
    <w:name w:val="Century 12 Char"/>
    <w:basedOn w:val="DefaultParagraphFont"/>
    <w:link w:val="Century12"/>
    <w:rsid w:val="00510CA2"/>
    <w:rPr>
      <w:rFonts w:ascii="Century Schoolbook" w:eastAsia="Times New Roman" w:hAnsi="Century Schoolbook" w:cs="Times New Roman"/>
      <w:sz w:val="24"/>
      <w:szCs w:val="24"/>
    </w:rPr>
  </w:style>
  <w:style w:type="paragraph" w:styleId="FootnoteText">
    <w:name w:val="footnote text"/>
    <w:aliases w:val="Footnote Text Char1,Footnote Text Char Char,Footnote Text Char1 Char Char,Footnote Text Char Char Char Char,Footnote Text Char1 Char Char Char Char,Footnote Text Char Char Char Char Char Char Char,Footnote Text Char1 Ch,Char Char Char,Cha"/>
    <w:basedOn w:val="Normal"/>
    <w:link w:val="FootnoteTextChar"/>
    <w:autoRedefine/>
    <w:uiPriority w:val="99"/>
    <w:unhideWhenUsed/>
    <w:qFormat/>
    <w:rsid w:val="00CD4AB8"/>
    <w:pPr>
      <w:tabs>
        <w:tab w:val="left" w:pos="851"/>
      </w:tabs>
      <w:spacing w:after="0" w:line="240" w:lineRule="auto"/>
    </w:pPr>
    <w:rPr>
      <w:rFonts w:ascii="Century Schoolbook" w:hAnsi="Century Schoolbook"/>
      <w:color w:val="000000" w:themeColor="text1"/>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Char"/>
    <w:basedOn w:val="DefaultParagraphFont"/>
    <w:link w:val="FootnoteText"/>
    <w:uiPriority w:val="99"/>
    <w:rsid w:val="00CD4AB8"/>
    <w:rPr>
      <w:rFonts w:ascii="Century Schoolbook" w:hAnsi="Century Schoolbook"/>
      <w:color w:val="000000" w:themeColor="text1"/>
      <w:sz w:val="20"/>
      <w:szCs w:val="20"/>
    </w:rPr>
  </w:style>
  <w:style w:type="character" w:styleId="FootnoteReference">
    <w:name w:val="footnote reference"/>
    <w:aliases w:val="Footnotes refss,Footnote Reference + Superscript,(NECG) Footnote Reference,Appel note de bas de page,Ref,de nota al pie,註腳內容"/>
    <w:basedOn w:val="DefaultParagraphFont"/>
    <w:uiPriority w:val="99"/>
    <w:unhideWhenUsed/>
    <w:rsid w:val="00510CA2"/>
    <w:rPr>
      <w:vertAlign w:val="superscript"/>
    </w:rPr>
  </w:style>
  <w:style w:type="character" w:customStyle="1" w:styleId="ListParagraphChar">
    <w:name w:val="List Paragraph Char"/>
    <w:basedOn w:val="DefaultParagraphFont"/>
    <w:link w:val="ListParagraph"/>
    <w:uiPriority w:val="34"/>
    <w:rsid w:val="006F28C1"/>
  </w:style>
  <w:style w:type="paragraph" w:styleId="NormalWeb">
    <w:name w:val="Normal (Web)"/>
    <w:basedOn w:val="Normal"/>
    <w:uiPriority w:val="99"/>
    <w:unhideWhenUsed/>
    <w:rsid w:val="006F28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78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F245-EBF4-4378-9F86-7B8ACA85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19338</TotalTime>
  <Pages>41</Pages>
  <Words>9503</Words>
  <Characters>54173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dc:creator>
  <cp:lastModifiedBy>Anthony</cp:lastModifiedBy>
  <cp:revision>981</cp:revision>
  <cp:lastPrinted>2020-01-26T08:02:00Z</cp:lastPrinted>
  <dcterms:created xsi:type="dcterms:W3CDTF">2019-12-24T18:11:00Z</dcterms:created>
  <dcterms:modified xsi:type="dcterms:W3CDTF">2020-02-19T10:26:00Z</dcterms:modified>
</cp:coreProperties>
</file>